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D" w:rsidRPr="009F7A04" w:rsidRDefault="00C9386D" w:rsidP="009B103A">
      <w:pPr>
        <w:pStyle w:val="ConsPlusNormal"/>
        <w:jc w:val="both"/>
        <w:rPr>
          <w:b/>
          <w:sz w:val="24"/>
          <w:szCs w:val="24"/>
        </w:rPr>
      </w:pPr>
      <w:proofErr w:type="gramStart"/>
      <w:r w:rsidRPr="009F7A04">
        <w:rPr>
          <w:rFonts w:ascii="Times New Roman CYR" w:hAnsi="Times New Roman CYR" w:cs="Times New Roman CYR"/>
          <w:bCs/>
          <w:sz w:val="24"/>
          <w:szCs w:val="24"/>
        </w:rPr>
        <w:t>Организатор торгов ООО "ПРОФИТ-СЕРВИС", ИНН 5408306932, ОГРН 1145476014090, адрес: 630128, Российская Федерация, город Новосибирск, ул. Демакова, д. 23</w:t>
      </w:r>
      <w:r w:rsidR="009F7A04" w:rsidRPr="009B103A">
        <w:rPr>
          <w:rFonts w:ascii="Times New Roman" w:hAnsi="Times New Roman" w:cs="Times New Roman"/>
          <w:b/>
          <w:sz w:val="24"/>
          <w:szCs w:val="24"/>
        </w:rPr>
        <w:t>,</w:t>
      </w:r>
      <w:r w:rsidR="00942799" w:rsidRPr="009B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="00942799" w:rsidRPr="009B10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servis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2799" w:rsidRPr="009B10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2799" w:rsidRPr="009B103A">
        <w:rPr>
          <w:rFonts w:ascii="Times New Roman" w:hAnsi="Times New Roman" w:cs="Times New Roman"/>
          <w:sz w:val="24"/>
          <w:szCs w:val="24"/>
        </w:rPr>
        <w:t>,</w:t>
      </w:r>
      <w:r w:rsidR="009F7A04" w:rsidRPr="009B103A">
        <w:rPr>
          <w:rFonts w:ascii="Times New Roman" w:hAnsi="Times New Roman" w:cs="Times New Roman"/>
          <w:sz w:val="24"/>
          <w:szCs w:val="24"/>
        </w:rPr>
        <w:t xml:space="preserve"> номер контактного телефона </w:t>
      </w:r>
      <w:r w:rsidR="009B103A" w:rsidRPr="009B103A">
        <w:rPr>
          <w:rFonts w:ascii="Times New Roman" w:hAnsi="Times New Roman" w:cs="Times New Roman"/>
          <w:sz w:val="24"/>
          <w:szCs w:val="24"/>
        </w:rPr>
        <w:t>– 89139508370,</w:t>
      </w:r>
      <w:r w:rsidR="00942799" w:rsidRPr="009B103A">
        <w:rPr>
          <w:rFonts w:ascii="Times New Roman" w:hAnsi="Times New Roman" w:cs="Times New Roman"/>
          <w:sz w:val="24"/>
          <w:szCs w:val="24"/>
        </w:rPr>
        <w:t xml:space="preserve"> </w:t>
      </w:r>
      <w:r w:rsidRPr="009B103A">
        <w:rPr>
          <w:rFonts w:ascii="Times New Roman" w:hAnsi="Times New Roman" w:cs="Times New Roman"/>
          <w:bCs/>
          <w:sz w:val="24"/>
          <w:szCs w:val="24"/>
        </w:rPr>
        <w:t xml:space="preserve">извещает </w:t>
      </w:r>
      <w:r w:rsidRPr="009B103A">
        <w:rPr>
          <w:rFonts w:ascii="Times New Roman CYR" w:hAnsi="Times New Roman CYR" w:cs="Times New Roman CYR"/>
          <w:bCs/>
          <w:sz w:val="24"/>
          <w:szCs w:val="24"/>
        </w:rPr>
        <w:t xml:space="preserve">о проведении </w:t>
      </w:r>
      <w:r w:rsidR="00FF6749">
        <w:rPr>
          <w:rFonts w:ascii="Times New Roman CYR" w:hAnsi="Times New Roman CYR" w:cs="Times New Roman CYR"/>
          <w:bCs/>
          <w:sz w:val="24"/>
          <w:szCs w:val="24"/>
        </w:rPr>
        <w:t xml:space="preserve">повторных </w:t>
      </w:r>
      <w:r w:rsidRPr="009B103A">
        <w:rPr>
          <w:rFonts w:ascii="Times New Roman CYR" w:hAnsi="Times New Roman CYR" w:cs="Times New Roman CYR"/>
          <w:bCs/>
          <w:sz w:val="24"/>
          <w:szCs w:val="24"/>
        </w:rPr>
        <w:t>торгов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в форме открытого аукциона в электронной форме</w:t>
      </w:r>
      <w:r w:rsidR="00192CBF">
        <w:rPr>
          <w:rFonts w:ascii="Times New Roman CYR" w:hAnsi="Times New Roman CYR" w:cs="Times New Roman CYR"/>
          <w:bCs/>
          <w:sz w:val="24"/>
          <w:szCs w:val="24"/>
        </w:rPr>
        <w:t xml:space="preserve"> по продаже имущества общества с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ограниченной ответственностью 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«Мегаполис </w:t>
      </w:r>
      <w:proofErr w:type="spellStart"/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ИНН 5503220386, </w:t>
      </w:r>
      <w:r w:rsidR="009F7A04" w:rsidRPr="009F7A04">
        <w:rPr>
          <w:rFonts w:ascii="Times New Roman CYR" w:hAnsi="Times New Roman CYR" w:cs="Times New Roman CYR"/>
          <w:bCs/>
          <w:sz w:val="24"/>
          <w:szCs w:val="24"/>
        </w:rPr>
        <w:t>ОГРН 1105543014961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>, юридический адрес: 644116, г. Омск, ул. 36-я Северная, д.</w:t>
      </w:r>
      <w:r w:rsidR="00A85AA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>5</w:t>
      </w:r>
      <w:proofErr w:type="gramEnd"/>
      <w:r w:rsidR="003A0364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с открытой формой представления предложений о цене. </w:t>
      </w:r>
    </w:p>
    <w:p w:rsidR="003A0364" w:rsidRPr="009F7A04" w:rsidRDefault="003A0364" w:rsidP="003A0364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 продажу выставляется следующее имущество: </w:t>
      </w:r>
    </w:p>
    <w:p w:rsidR="009703BA" w:rsidRPr="009F7A04" w:rsidRDefault="00D94993" w:rsidP="00970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939F9">
        <w:rPr>
          <w:rFonts w:ascii="Times New Roman CYR" w:hAnsi="Times New Roman CYR" w:cs="Times New Roman CYR"/>
          <w:b/>
          <w:bCs/>
          <w:sz w:val="24"/>
          <w:szCs w:val="24"/>
        </w:rPr>
        <w:t>Лот № 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составе</w:t>
      </w:r>
      <w:r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Машина для резки картофеля на чипсы (картофельные слайсы), модель СС, 2009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>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Urschel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Laboratories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INC», США; Головная панель управления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чипсовой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фрит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юрницы, 2010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Eltek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Systems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Конвейерная линия в составе: Роликовый инспекционный конвейер, Подъемник (элеватор) непрерывного действия; Скоростной ленточный элеватор (конвейер), Ленточный маслосъемный конвейер,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Conveyor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Lines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Англия; Линия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омывания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слайсов в составе: 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Двухлинейный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омыватель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слайсов (ломтиков) и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водоснимающий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вибрационный конвейер, Барабанный фильтр, Распределитель картофеля типа СС для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слайсеров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типа СС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, 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изготовитель: Компания «CODE-A-WELD (GREAT YARMOUTH LIMITED», Англия; Теплообменник для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бланширователя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модель КН37-168/18-15,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 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Компания «HRS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Heat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Exchangers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Теплообменник для фр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итюрницы, модель КН121-273/18-6,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Компания «HRS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Heat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Exchangers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», Англия; Линия по подготовке и очистке картофеля, соединенная электрическим цепями № 2010-12054, в составе: Вращающее устройство, Опрокидыватель, Ленточный элеватор, Очиститель щеточный,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Tong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Engineering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Ltd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», Англия; Линия для очистки картофеля в составе: Камнеотборник; Абразивный очиститель;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Бланширователь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>, 2010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 Компания «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Goinge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Arnimek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A.B.», Швеция; Линия для обжарки чипсов в составе: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Чипсовая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фритюрница на 500 кг.; Емкость для масла; Барабанный фильтр; Комплект соединительных труб,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ab/>
        <w:t xml:space="preserve">Компания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Nita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tor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>
        <w:rPr>
          <w:rFonts w:ascii="Times New Roman CYR" w:hAnsi="Times New Roman CYR" w:cs="Times New Roman CYR"/>
          <w:bCs/>
          <w:sz w:val="24"/>
          <w:szCs w:val="24"/>
        </w:rPr>
        <w:t>Stainless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>
        <w:rPr>
          <w:rFonts w:ascii="Times New Roman CYR" w:hAnsi="Times New Roman CYR" w:cs="Times New Roman CYR"/>
          <w:bCs/>
          <w:sz w:val="24"/>
          <w:szCs w:val="24"/>
        </w:rPr>
        <w:t>Steel</w:t>
      </w:r>
      <w:proofErr w:type="spellEnd"/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AB», Швеция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;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Осуш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итель, модель K-MT 7,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Германия; Фильтр модель G5 VOA,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зготовитель Германия; Компле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кт штуцеров, модель MK M14-G12,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г.;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Конденсатоотводчик, модель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Bekomat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31,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изготовитель Германия; Генератор азота, модель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Maxigas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108, 2010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изготовитель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Великобритания; Ресивер 900 л. оцинкованный,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</w:p>
    <w:p w:rsidR="00205182" w:rsidRPr="009F7A04" w:rsidRDefault="00205182" w:rsidP="003006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Имущество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, включенное в состав лота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66B89" w:rsidRPr="009F7A04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находится в залоге у </w:t>
      </w:r>
      <w:r w:rsidR="00766B89" w:rsidRPr="009F7A04">
        <w:rPr>
          <w:rFonts w:ascii="Times New Roman CYR" w:hAnsi="Times New Roman CYR" w:cs="Times New Roman CYR"/>
          <w:bCs/>
          <w:sz w:val="24"/>
          <w:szCs w:val="24"/>
        </w:rPr>
        <w:t>ОАО «БАНК УРАЛСИБ».</w:t>
      </w:r>
    </w:p>
    <w:p w:rsidR="00622FEB" w:rsidRPr="00FF6749" w:rsidRDefault="009C2C12" w:rsidP="003006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6749">
        <w:rPr>
          <w:rFonts w:ascii="Times New Roman CYR" w:hAnsi="Times New Roman CYR" w:cs="Times New Roman CYR"/>
          <w:b/>
          <w:bCs/>
          <w:sz w:val="24"/>
          <w:szCs w:val="24"/>
        </w:rPr>
        <w:t xml:space="preserve">Начальная продажная цена </w:t>
      </w:r>
      <w:r w:rsidR="00D94993" w:rsidRPr="00FF6749">
        <w:rPr>
          <w:rFonts w:ascii="Times New Roman CYR" w:hAnsi="Times New Roman CYR" w:cs="Times New Roman CYR"/>
          <w:b/>
          <w:bCs/>
          <w:sz w:val="24"/>
          <w:szCs w:val="24"/>
        </w:rPr>
        <w:t>Лота №1</w:t>
      </w:r>
      <w:r w:rsidRPr="00FF6749">
        <w:rPr>
          <w:rFonts w:ascii="Times New Roman CYR" w:hAnsi="Times New Roman CYR" w:cs="Times New Roman CYR"/>
          <w:b/>
          <w:bCs/>
          <w:sz w:val="24"/>
          <w:szCs w:val="24"/>
        </w:rPr>
        <w:t xml:space="preserve"> составляет </w:t>
      </w:r>
      <w:r w:rsidR="00FF6749" w:rsidRPr="00FF6749">
        <w:rPr>
          <w:rFonts w:ascii="Times New Roman CYR" w:hAnsi="Times New Roman CYR" w:cs="Times New Roman CYR"/>
          <w:b/>
          <w:bCs/>
          <w:sz w:val="24"/>
          <w:szCs w:val="24"/>
        </w:rPr>
        <w:t>16 064 712руб.</w:t>
      </w:r>
    </w:p>
    <w:p w:rsidR="009703BA" w:rsidRPr="009F7A04" w:rsidRDefault="00D94993" w:rsidP="00970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939F9">
        <w:rPr>
          <w:rFonts w:ascii="Times New Roman CYR" w:hAnsi="Times New Roman CYR" w:cs="Times New Roman CYR"/>
          <w:b/>
          <w:bCs/>
          <w:sz w:val="24"/>
          <w:szCs w:val="24"/>
        </w:rPr>
        <w:t>Лот № 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со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таве</w:t>
      </w:r>
      <w:proofErr w:type="spellEnd"/>
      <w:r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П</w:t>
      </w:r>
      <w:bookmarkStart w:id="0" w:name="_GoBack"/>
      <w:bookmarkEnd w:id="0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одающий 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виброконтейнер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000000019, заводской №VM3-1013,1шт; Элеваторный  контейнер,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№000000047, 1шт; ROFLO 3 основные распределительные лотки,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000000049, 2 </w:t>
      </w:r>
      <w:proofErr w:type="spellStart"/>
      <w:proofErr w:type="gram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шт</w:t>
      </w:r>
      <w:proofErr w:type="spellEnd"/>
      <w:proofErr w:type="gram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; ROFLO 3 подающий поток,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№000000020, 2шт; TNA 514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Delta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комбинационный  весовой дозатор для снеков,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000000022, заводской №WG 100049, WG 100050, 2шт; Упаковочная  машина TNA ROBAG 3 RDJ 230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tx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№000000024, 2шт.; Отводящая  система от упаковочной машины,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000000026, заводской №19005718-4, 19005718-1,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ab/>
        <w:t xml:space="preserve">2шт; TNA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Intelli-date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термотрансферный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датировщик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000000050, заводской № D10099407 TWD; D10033422 TWD, 2шт.; Устройство  проверки сварки швов,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000000027, 2шт; TNA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Intelli-flav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2 система ароматизации,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инв. № 000000016, заводской № 0912-05; 0912-04, 2шт.; </w:t>
      </w:r>
      <w:proofErr w:type="spellStart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Групдировщик</w:t>
      </w:r>
      <w:proofErr w:type="spellEnd"/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пакетов,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заводской № 000000028, 2шт.; Панель  управления системой защиты,  2010</w:t>
      </w:r>
      <w:r w:rsidR="009703BA">
        <w:rPr>
          <w:rFonts w:ascii="Times New Roman CYR" w:hAnsi="Times New Roman CYR" w:cs="Times New Roman CYR"/>
          <w:bCs/>
          <w:sz w:val="24"/>
          <w:szCs w:val="24"/>
        </w:rPr>
        <w:t xml:space="preserve"> г.</w:t>
      </w:r>
      <w:r w:rsidR="009703BA" w:rsidRPr="009F7A04">
        <w:rPr>
          <w:rFonts w:ascii="Times New Roman CYR" w:hAnsi="Times New Roman CYR" w:cs="Times New Roman CYR"/>
          <w:bCs/>
          <w:sz w:val="24"/>
          <w:szCs w:val="24"/>
        </w:rPr>
        <w:t>, инв. № 000000048, 1шт.</w:t>
      </w:r>
    </w:p>
    <w:p w:rsidR="00766B89" w:rsidRPr="00D94993" w:rsidRDefault="00766B89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lastRenderedPageBreak/>
        <w:t>Имущество по лоту №2 находи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тся в залоге у ОАО «НОМОС-БАНК», а также </w:t>
      </w:r>
      <w:r w:rsidR="00942799">
        <w:rPr>
          <w:rFonts w:ascii="Times New Roman CYR" w:hAnsi="Times New Roman CYR" w:cs="Times New Roman CYR"/>
          <w:bCs/>
          <w:sz w:val="24"/>
          <w:szCs w:val="24"/>
        </w:rPr>
        <w:t>в последующем залоге у ЗАО «</w:t>
      </w:r>
      <w:proofErr w:type="spellStart"/>
      <w:r w:rsidR="00942799">
        <w:rPr>
          <w:rFonts w:ascii="Times New Roman CYR" w:hAnsi="Times New Roman CYR" w:cs="Times New Roman CYR"/>
          <w:bCs/>
          <w:sz w:val="24"/>
          <w:szCs w:val="24"/>
        </w:rPr>
        <w:t>ЮниКредитБ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анк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>».</w:t>
      </w:r>
    </w:p>
    <w:p w:rsidR="00E86C88" w:rsidRPr="009F7A04" w:rsidRDefault="00E86C88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На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чальная продажная цена Лота №2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составляет </w:t>
      </w:r>
      <w:r w:rsidR="00FF6749">
        <w:rPr>
          <w:rFonts w:ascii="Times New Roman CYR" w:hAnsi="Times New Roman CYR" w:cs="Times New Roman CYR"/>
          <w:bCs/>
          <w:sz w:val="24"/>
          <w:szCs w:val="24"/>
        </w:rPr>
        <w:t>14 515 560 руб</w:t>
      </w:r>
      <w:r w:rsidR="00622FEB" w:rsidRPr="00622FE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006CF" w:rsidRPr="009F7A04" w:rsidRDefault="006E3452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Ознакомление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с документами, характеризующими продаваемое имущество, а также предложениями о порядке и сроках реализации имущества осуществляется по адресу</w:t>
      </w:r>
      <w:r w:rsidR="00D94993" w:rsidRP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г.Новосибирск, ул. Семьи </w:t>
      </w:r>
      <w:proofErr w:type="spellStart"/>
      <w:r w:rsidR="00D94993">
        <w:rPr>
          <w:rFonts w:ascii="Times New Roman CYR" w:hAnsi="Times New Roman CYR" w:cs="Times New Roman CYR"/>
          <w:bCs/>
          <w:sz w:val="24"/>
          <w:szCs w:val="24"/>
        </w:rPr>
        <w:t>Шамшиных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, д. 18/1, оф. 7. Ознакомление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с имуществом осуществляется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по месту его нахождения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 адресу: 644116, г. Омск, ул. 36-я Северная, д. 5,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с предварительного согласования с организатором торгов по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тел. </w:t>
      </w:r>
      <w:r w:rsidR="009B103A" w:rsidRPr="009B103A">
        <w:rPr>
          <w:rFonts w:ascii="Times New Roman" w:hAnsi="Times New Roman" w:cs="Times New Roman"/>
          <w:sz w:val="24"/>
          <w:szCs w:val="24"/>
        </w:rPr>
        <w:t>89139508370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F487B" w:rsidRPr="009F7A04" w:rsidRDefault="005F487B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Проведение электронных торгов осуществляется Оператором Электронной площадки: ООО "Электронная площадка "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Вердиктъ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", 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адрес: 400001 г. Волгоград ул. Калин</w:t>
      </w:r>
      <w:r w:rsidR="009F7A04">
        <w:rPr>
          <w:rFonts w:ascii="Times New Roman CYR" w:hAnsi="Times New Roman CYR" w:cs="Times New Roman CYR"/>
          <w:bCs/>
          <w:sz w:val="24"/>
          <w:szCs w:val="24"/>
        </w:rPr>
        <w:t xml:space="preserve">ина 13, ИНН: 3445112650,  ОГРН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1103460004317, сайт в сети Интерн</w:t>
      </w:r>
      <w:r w:rsidR="002A7B89">
        <w:rPr>
          <w:rFonts w:ascii="Times New Roman CYR" w:hAnsi="Times New Roman CYR" w:cs="Times New Roman CYR"/>
          <w:bCs/>
          <w:sz w:val="24"/>
          <w:szCs w:val="24"/>
        </w:rPr>
        <w:t>ет http://vertrades.ru/bankrupt/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, телефон (8442) 26-47-2</w:t>
      </w:r>
      <w:r w:rsidR="00D94993">
        <w:rPr>
          <w:rFonts w:ascii="Times New Roman CYR" w:hAnsi="Times New Roman CYR" w:cs="Times New Roman CYR"/>
          <w:bCs/>
          <w:sz w:val="24"/>
          <w:szCs w:val="24"/>
        </w:rPr>
        <w:t>9, e-</w:t>
      </w:r>
      <w:proofErr w:type="spellStart"/>
      <w:r w:rsidR="00D94993">
        <w:rPr>
          <w:rFonts w:ascii="Times New Roman CYR" w:hAnsi="Times New Roman CYR" w:cs="Times New Roman CYR"/>
          <w:bCs/>
          <w:sz w:val="24"/>
          <w:szCs w:val="24"/>
        </w:rPr>
        <w:t>mail</w:t>
      </w:r>
      <w:proofErr w:type="spellEnd"/>
      <w:r w:rsidR="00D94993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hyperlink r:id="rId6" w:history="1">
        <w:r w:rsidR="00D64FE6" w:rsidRPr="00505636">
          <w:rPr>
            <w:rStyle w:val="a3"/>
            <w:rFonts w:ascii="Times New Roman CYR" w:hAnsi="Times New Roman CYR" w:cs="Times New Roman CYR"/>
            <w:bCs/>
            <w:sz w:val="24"/>
            <w:szCs w:val="24"/>
          </w:rPr>
          <w:t>support@vertrades.ru</w:t>
        </w:r>
      </w:hyperlink>
      <w:r w:rsidR="00D94993">
        <w:rPr>
          <w:rFonts w:ascii="Times New Roman CYR" w:hAnsi="Times New Roman CYR" w:cs="Times New Roman CYR"/>
          <w:bCs/>
          <w:sz w:val="24"/>
          <w:szCs w:val="24"/>
        </w:rPr>
        <w:t>)</w:t>
      </w:r>
      <w:proofErr w:type="gramStart"/>
      <w:r w:rsidR="00D64FE6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proofErr w:type="gramStart"/>
      <w:r w:rsidR="00D64FE6">
        <w:rPr>
          <w:rFonts w:ascii="Times New Roman CYR" w:hAnsi="Times New Roman CYR" w:cs="Times New Roman CYR"/>
          <w:bCs/>
          <w:sz w:val="24"/>
          <w:szCs w:val="24"/>
        </w:rPr>
        <w:t>д</w:t>
      </w:r>
      <w:proofErr w:type="gramEnd"/>
      <w:r w:rsidR="00D64FE6">
        <w:rPr>
          <w:rFonts w:ascii="Times New Roman CYR" w:hAnsi="Times New Roman CYR" w:cs="Times New Roman CYR"/>
          <w:bCs/>
          <w:sz w:val="24"/>
          <w:szCs w:val="24"/>
        </w:rPr>
        <w:t>алее «оператор ЭТП»)</w:t>
      </w:r>
    </w:p>
    <w:p w:rsidR="00FE4BF5" w:rsidRDefault="00FE4BF5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Торги </w:t>
      </w:r>
      <w:r w:rsidR="002A7B89"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состоятся </w:t>
      </w:r>
      <w:r w:rsidR="00FF6749" w:rsidRPr="00FF6749">
        <w:rPr>
          <w:rFonts w:ascii="Times New Roman CYR" w:hAnsi="Times New Roman CYR" w:cs="Times New Roman CYR"/>
          <w:b/>
          <w:bCs/>
          <w:sz w:val="24"/>
          <w:szCs w:val="24"/>
        </w:rPr>
        <w:t xml:space="preserve">15.09.2014 г. в 11:00 </w:t>
      </w:r>
      <w:r w:rsidR="00622FEB">
        <w:rPr>
          <w:rFonts w:ascii="Times New Roman CYR" w:hAnsi="Times New Roman CYR" w:cs="Times New Roman CYR"/>
          <w:b/>
          <w:bCs/>
          <w:sz w:val="24"/>
          <w:szCs w:val="24"/>
        </w:rPr>
        <w:t>(здесь и далее время московское)</w:t>
      </w:r>
      <w:r w:rsidR="00622FEB"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сайте </w:t>
      </w:r>
      <w:r w:rsidR="00D64FE6">
        <w:rPr>
          <w:rFonts w:ascii="Times New Roman CYR" w:hAnsi="Times New Roman CYR" w:cs="Times New Roman CYR"/>
          <w:b/>
          <w:bCs/>
          <w:sz w:val="24"/>
          <w:szCs w:val="24"/>
        </w:rPr>
        <w:t>оператора ЭТП</w:t>
      </w:r>
      <w:r w:rsidRPr="009F7A04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F487B" w:rsidRPr="009F7A04" w:rsidRDefault="00766B89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Порядок проведения торгов - путем повышения начальной цены продажи на величину, кратную величине «шага аукциона».</w:t>
      </w:r>
    </w:p>
    <w:p w:rsidR="00766B89" w:rsidRPr="009F7A04" w:rsidRDefault="005F487B" w:rsidP="00766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Шаг аукциона - 5 % от начальной цены лота</w:t>
      </w:r>
    </w:p>
    <w:p w:rsidR="00FF6749" w:rsidRDefault="00FF6749" w:rsidP="00137063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6749">
        <w:rPr>
          <w:rFonts w:ascii="Times New Roman CYR" w:hAnsi="Times New Roman CYR" w:cs="Times New Roman CYR"/>
          <w:b/>
          <w:bCs/>
          <w:sz w:val="24"/>
          <w:szCs w:val="24"/>
        </w:rPr>
        <w:t>Дата и время представления заявок: с 08.08.2014 г. 00:00 по 12.09.2014 г. 14:00</w:t>
      </w:r>
    </w:p>
    <w:p w:rsidR="00137063" w:rsidRPr="009F7A04" w:rsidRDefault="00137063" w:rsidP="0013706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9F7A04">
        <w:rPr>
          <w:rFonts w:ascii="Times New Roman CYR" w:hAnsi="Times New Roman CYR" w:cs="Times New Roman CYR"/>
          <w:bCs/>
          <w:sz w:val="24"/>
          <w:szCs w:val="24"/>
        </w:rPr>
        <w:t>Заявка и документы на участие в торгах предоставляются в электронном виде и подписанные ЭЦП заявителя, в соответствии с порядком (регламентом) работы электронной торговой площадки ООО "Электронная площадка "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Вердиктъ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>", посредством систем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>ы электронного документооборота</w:t>
      </w:r>
      <w:r w:rsidR="000C25BB">
        <w:rPr>
          <w:rFonts w:ascii="Times New Roman CYR" w:hAnsi="Times New Roman CYR" w:cs="Times New Roman CYR"/>
          <w:bCs/>
          <w:sz w:val="24"/>
          <w:szCs w:val="24"/>
        </w:rPr>
        <w:t xml:space="preserve"> http://vertrades.ru/bankrupt/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Заявка на участие в открытых торгах должна содержать: обязательство участника открытых торгов соблюдать требования, указанные в сообщении о проведении открытых торгов;</w:t>
      </w:r>
      <w:proofErr w:type="gramEnd"/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действительную на день представления заявки на участия в торгах выписку из </w:t>
      </w:r>
      <w:r w:rsidR="002E718F" w:rsidRPr="009F7A04">
        <w:rPr>
          <w:rFonts w:ascii="Times New Roman CYR" w:hAnsi="Times New Roman CYR" w:cs="Times New Roman CYR"/>
          <w:bCs/>
          <w:sz w:val="24"/>
          <w:szCs w:val="24"/>
        </w:rPr>
        <w:t>ЕГРЮЛ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, выписку из </w:t>
      </w:r>
      <w:r w:rsidR="002E718F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ЕГРИП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(для индивидуального предпринимателя), копии документов, удостоверяющих личность (для физического лица), копию решения об одобрении крупной сделки, если для участника открытых торгов приобретение имущества (предприятия) или внесение денежных сре</w:t>
      </w:r>
      <w:proofErr w:type="gramStart"/>
      <w:r w:rsidRPr="009F7A04">
        <w:rPr>
          <w:rFonts w:ascii="Times New Roman CYR" w:hAnsi="Times New Roman CYR" w:cs="Times New Roman CYR"/>
          <w:bCs/>
          <w:sz w:val="24"/>
          <w:szCs w:val="24"/>
        </w:rPr>
        <w:t>дств в к</w:t>
      </w:r>
      <w:proofErr w:type="gramEnd"/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ачестве задатка являются крупной сделкой; </w:t>
      </w:r>
      <w:proofErr w:type="gramStart"/>
      <w:r w:rsidRPr="009F7A04">
        <w:rPr>
          <w:rFonts w:ascii="Times New Roman CYR" w:hAnsi="Times New Roman CYR" w:cs="Times New Roman CYR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копии документов, подтверждающих полномочия руководителя (для юридических лиц);</w:t>
      </w:r>
      <w:proofErr w:type="gramEnd"/>
      <w:r w:rsidRPr="009F7A04">
        <w:rPr>
          <w:rFonts w:ascii="Times New Roman CYR" w:hAnsi="Times New Roman CYR" w:cs="Times New Roman CYR"/>
          <w:bCs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66B89" w:rsidRDefault="00766B89" w:rsidP="009C2C1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Победителем признается</w:t>
      </w:r>
      <w:r w:rsidR="005F487B"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участник, предложивший наивысшую цену. В день проведения торгов оформляется протокол о торгах. Договор купли-продажи заключается конкурсным управляющим с победителем торгов в течение 5 дней с даты получения победителем торгов предложения конкурсного управляющего заключить договор купли-продажи. Оплата </w:t>
      </w:r>
      <w:r w:rsidR="00D64FE6">
        <w:rPr>
          <w:rFonts w:ascii="Times New Roman CYR" w:hAnsi="Times New Roman CYR" w:cs="Times New Roman CYR"/>
          <w:bCs/>
          <w:sz w:val="24"/>
          <w:szCs w:val="24"/>
        </w:rPr>
        <w:t xml:space="preserve">цены имущества </w:t>
      </w:r>
      <w:r w:rsidR="00E86C88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за </w:t>
      </w:r>
      <w:r w:rsidR="00E86C88" w:rsidRPr="009F7A04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вычетом суммы задатка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должна быть осуществлена покупателем в течение тридцати дней со дня подписания договора купли-продажи</w:t>
      </w:r>
      <w:r w:rsidR="009F7A04">
        <w:rPr>
          <w:rFonts w:ascii="Times New Roman CYR" w:hAnsi="Times New Roman CYR" w:cs="Times New Roman CYR"/>
          <w:bCs/>
          <w:sz w:val="24"/>
          <w:szCs w:val="24"/>
        </w:rPr>
        <w:t xml:space="preserve"> по следующим реквизитам:</w:t>
      </w:r>
    </w:p>
    <w:p w:rsidR="00AC31B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Получатель: ООО </w:t>
      </w:r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 xml:space="preserve">«Мегаполис </w:t>
      </w:r>
      <w:proofErr w:type="spellStart"/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="00AC31B4" w:rsidRPr="00AC31B4">
        <w:rPr>
          <w:rFonts w:ascii="Times New Roman CYR" w:hAnsi="Times New Roman CYR" w:cs="Times New Roman CYR"/>
          <w:bCs/>
          <w:sz w:val="24"/>
          <w:szCs w:val="24"/>
        </w:rPr>
        <w:t xml:space="preserve">», </w:t>
      </w:r>
    </w:p>
    <w:p w:rsidR="009F7A04" w:rsidRPr="009F7A04" w:rsidRDefault="00AC31B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C31B4">
        <w:rPr>
          <w:rFonts w:ascii="Times New Roman CYR" w:hAnsi="Times New Roman CYR" w:cs="Times New Roman CYR"/>
          <w:bCs/>
          <w:sz w:val="24"/>
          <w:szCs w:val="24"/>
        </w:rPr>
        <w:t xml:space="preserve">ИНН 5503220386, </w:t>
      </w:r>
      <w:r>
        <w:rPr>
          <w:rFonts w:ascii="Times New Roman CYR" w:hAnsi="Times New Roman CYR" w:cs="Times New Roman CYR"/>
          <w:bCs/>
          <w:sz w:val="24"/>
          <w:szCs w:val="24"/>
        </w:rPr>
        <w:t>КПП 550301001</w:t>
      </w:r>
    </w:p>
    <w:p w:rsidR="009F7A04" w:rsidRPr="009F7A0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Расчетный счет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40702810032450000073, </w:t>
      </w:r>
    </w:p>
    <w:p w:rsidR="009F7A04" w:rsidRPr="009F7A04" w:rsidRDefault="009F7A0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Банк: ОАО «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>БАНК УРАЛСИБ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» г.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Новосибирск</w:t>
      </w:r>
    </w:p>
    <w:p w:rsidR="009F7A04" w:rsidRPr="009F7A04" w:rsidRDefault="00AC31B4" w:rsidP="009F7A04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БИК: 045004725</w:t>
      </w:r>
      <w:r w:rsidR="009F7A04" w:rsidRPr="009F7A04">
        <w:rPr>
          <w:rFonts w:ascii="Times New Roman CYR" w:hAnsi="Times New Roman CYR" w:cs="Times New Roman CYR"/>
          <w:bCs/>
          <w:sz w:val="24"/>
          <w:szCs w:val="24"/>
        </w:rPr>
        <w:t>,</w:t>
      </w:r>
    </w:p>
    <w:p w:rsidR="009F7A04" w:rsidRPr="009703BA" w:rsidRDefault="009F7A04" w:rsidP="009B2393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Корр. </w:t>
      </w:r>
      <w:r w:rsidR="00AC31B4" w:rsidRPr="009F7A04"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>чет</w:t>
      </w:r>
      <w:r w:rsidR="00AC31B4">
        <w:rPr>
          <w:rFonts w:ascii="Times New Roman CYR" w:hAnsi="Times New Roman CYR" w:cs="Times New Roman CYR"/>
          <w:bCs/>
          <w:sz w:val="24"/>
          <w:szCs w:val="24"/>
        </w:rPr>
        <w:t xml:space="preserve"> №30101810400000000725</w:t>
      </w: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F487B" w:rsidRPr="009F7A04" w:rsidRDefault="005F487B" w:rsidP="005F48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Размер задатка для участия в торгах устанавливается в размере 10% от начальной цены лота. </w:t>
      </w:r>
    </w:p>
    <w:p w:rsidR="00C2526A" w:rsidRPr="009F7A04" w:rsidRDefault="003C2C62" w:rsidP="003C2C6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</w:t>
      </w:r>
      <w:r w:rsidR="00C2526A"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Проект договора купли-продажи и договора о задатке размещается на официальном сайте оператора </w:t>
      </w:r>
      <w:r w:rsidR="000A6F99">
        <w:rPr>
          <w:rFonts w:ascii="Times New Roman CYR" w:hAnsi="Times New Roman CYR" w:cs="Times New Roman CYR"/>
          <w:bCs/>
          <w:sz w:val="24"/>
          <w:szCs w:val="24"/>
        </w:rPr>
        <w:t>ЭТП.</w:t>
      </w:r>
    </w:p>
    <w:p w:rsidR="003C2C62" w:rsidRPr="009F7A04" w:rsidRDefault="003C2C62" w:rsidP="003C2C62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Оплата задатка осуществляется денежными средствами</w:t>
      </w:r>
      <w:r w:rsidR="00D706C1" w:rsidRPr="00D706C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706C1" w:rsidRPr="00FC2021">
        <w:rPr>
          <w:rFonts w:ascii="Times New Roman CYR" w:hAnsi="Times New Roman CYR" w:cs="Times New Roman CYR"/>
          <w:bCs/>
          <w:sz w:val="24"/>
          <w:szCs w:val="24"/>
        </w:rPr>
        <w:t xml:space="preserve">не позднее </w:t>
      </w:r>
      <w:r w:rsidR="00FF6749" w:rsidRPr="00FF6749">
        <w:rPr>
          <w:rFonts w:ascii="Times New Roman CYR" w:hAnsi="Times New Roman CYR" w:cs="Times New Roman CYR"/>
          <w:bCs/>
          <w:sz w:val="24"/>
          <w:szCs w:val="24"/>
        </w:rPr>
        <w:t>не позднее 14:00 12.09.2014г.</w:t>
      </w:r>
      <w:r w:rsidR="00FF67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C2021">
        <w:rPr>
          <w:rFonts w:ascii="Times New Roman CYR" w:hAnsi="Times New Roman CYR" w:cs="Times New Roman CYR"/>
          <w:bCs/>
          <w:sz w:val="24"/>
          <w:szCs w:val="24"/>
        </w:rPr>
        <w:t>на расчетный счет организатора торгов, по следующим реквизитам: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Получатель: ООО «ПРОФИТ-СЕРВИС»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ИНН: 5408306932, КПП 540801001;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№ 40702810701030000444,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Банк: ОАО «МДМ БАНК» г.Новосибирск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>БИК: 045004821,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Корр. счет№30101810100000000821 </w:t>
      </w:r>
    </w:p>
    <w:p w:rsidR="003C2C62" w:rsidRPr="009F7A04" w:rsidRDefault="003C2C62" w:rsidP="003C2C62">
      <w:pPr>
        <w:spacing w:line="240" w:lineRule="auto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F7A04">
        <w:rPr>
          <w:rFonts w:ascii="Times New Roman CYR" w:hAnsi="Times New Roman CYR" w:cs="Times New Roman CYR"/>
          <w:bCs/>
          <w:sz w:val="24"/>
          <w:szCs w:val="24"/>
        </w:rPr>
        <w:t xml:space="preserve">Наименование платежа (пример): Задаток для участия в торгах по продаже имущества ООО «Мегаполис </w:t>
      </w:r>
      <w:proofErr w:type="spellStart"/>
      <w:r w:rsidRPr="009F7A04">
        <w:rPr>
          <w:rFonts w:ascii="Times New Roman CYR" w:hAnsi="Times New Roman CYR" w:cs="Times New Roman CYR"/>
          <w:bCs/>
          <w:sz w:val="24"/>
          <w:szCs w:val="24"/>
        </w:rPr>
        <w:t>Пакеджинг</w:t>
      </w:r>
      <w:proofErr w:type="spellEnd"/>
      <w:r w:rsidRPr="009F7A04">
        <w:rPr>
          <w:rFonts w:ascii="Times New Roman CYR" w:hAnsi="Times New Roman CYR" w:cs="Times New Roman CYR"/>
          <w:bCs/>
          <w:sz w:val="24"/>
          <w:szCs w:val="24"/>
        </w:rPr>
        <w:t>» по лоту № (указать номер лота).</w:t>
      </w:r>
    </w:p>
    <w:p w:rsidR="00D64FE6" w:rsidRPr="000A6F99" w:rsidRDefault="000A6F99" w:rsidP="009855A7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A6F99">
        <w:rPr>
          <w:rFonts w:ascii="Times New Roman" w:eastAsia="Calibri" w:hAnsi="Times New Roman" w:cs="Times New Roman"/>
          <w:sz w:val="24"/>
          <w:szCs w:val="24"/>
        </w:rPr>
        <w:t>Задаток считается уплаченным с момента зачисления средств на счет организатора торгов. Подтверждением пос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тупления суммы задатка на счет </w:t>
      </w:r>
      <w:r w:rsidRPr="000A6F99">
        <w:rPr>
          <w:rFonts w:ascii="Times New Roman" w:eastAsia="Calibri" w:hAnsi="Times New Roman" w:cs="Times New Roman"/>
          <w:sz w:val="24"/>
          <w:szCs w:val="24"/>
        </w:rPr>
        <w:t>является выписка с расчетного счета, предоставляемая Банком Организатору торгов.</w:t>
      </w:r>
    </w:p>
    <w:sectPr w:rsidR="00D64FE6" w:rsidRPr="000A6F99" w:rsidSect="009B239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44F"/>
    <w:multiLevelType w:val="singleLevel"/>
    <w:tmpl w:val="6A281A02"/>
    <w:lvl w:ilvl="0">
      <w:start w:val="1"/>
      <w:numFmt w:val="decimal"/>
      <w:lvlText w:val="1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65C61816"/>
    <w:multiLevelType w:val="singleLevel"/>
    <w:tmpl w:val="94BC9172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D"/>
    <w:rsid w:val="00012401"/>
    <w:rsid w:val="000A6F99"/>
    <w:rsid w:val="000C25BB"/>
    <w:rsid w:val="000F2F18"/>
    <w:rsid w:val="00137063"/>
    <w:rsid w:val="00192CBF"/>
    <w:rsid w:val="00205182"/>
    <w:rsid w:val="002337A0"/>
    <w:rsid w:val="002A7B89"/>
    <w:rsid w:val="002E718F"/>
    <w:rsid w:val="003006CF"/>
    <w:rsid w:val="003A0364"/>
    <w:rsid w:val="003C2C62"/>
    <w:rsid w:val="0049056E"/>
    <w:rsid w:val="0052209C"/>
    <w:rsid w:val="00545FA4"/>
    <w:rsid w:val="00585211"/>
    <w:rsid w:val="005E7C55"/>
    <w:rsid w:val="005F487B"/>
    <w:rsid w:val="00622FEB"/>
    <w:rsid w:val="0069012E"/>
    <w:rsid w:val="006D2EF5"/>
    <w:rsid w:val="006E3452"/>
    <w:rsid w:val="00727645"/>
    <w:rsid w:val="00766B89"/>
    <w:rsid w:val="007849F2"/>
    <w:rsid w:val="007B0BD7"/>
    <w:rsid w:val="008122A0"/>
    <w:rsid w:val="008A7170"/>
    <w:rsid w:val="008D273D"/>
    <w:rsid w:val="00942799"/>
    <w:rsid w:val="0096521A"/>
    <w:rsid w:val="009703BA"/>
    <w:rsid w:val="009855A7"/>
    <w:rsid w:val="009939F9"/>
    <w:rsid w:val="009B103A"/>
    <w:rsid w:val="009B2393"/>
    <w:rsid w:val="009C2C12"/>
    <w:rsid w:val="009F7A04"/>
    <w:rsid w:val="00A85AA1"/>
    <w:rsid w:val="00A97B60"/>
    <w:rsid w:val="00AC31B4"/>
    <w:rsid w:val="00B15FBD"/>
    <w:rsid w:val="00B54C8E"/>
    <w:rsid w:val="00BB4EE9"/>
    <w:rsid w:val="00C17D31"/>
    <w:rsid w:val="00C2526A"/>
    <w:rsid w:val="00C9386D"/>
    <w:rsid w:val="00CF250B"/>
    <w:rsid w:val="00D64FE6"/>
    <w:rsid w:val="00D706C1"/>
    <w:rsid w:val="00D94993"/>
    <w:rsid w:val="00E13654"/>
    <w:rsid w:val="00E755D2"/>
    <w:rsid w:val="00E86C88"/>
    <w:rsid w:val="00FC2021"/>
    <w:rsid w:val="00FE353B"/>
    <w:rsid w:val="00FE4BF5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C9386D"/>
    <w:pPr>
      <w:widowControl w:val="0"/>
      <w:autoSpaceDE w:val="0"/>
      <w:autoSpaceDN w:val="0"/>
      <w:adjustRightInd w:val="0"/>
      <w:spacing w:after="0" w:line="262" w:lineRule="exact"/>
      <w:ind w:hanging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9386D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252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BD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C9386D"/>
    <w:pPr>
      <w:widowControl w:val="0"/>
      <w:autoSpaceDE w:val="0"/>
      <w:autoSpaceDN w:val="0"/>
      <w:adjustRightInd w:val="0"/>
      <w:spacing w:after="0" w:line="262" w:lineRule="exact"/>
      <w:ind w:hanging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9386D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252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BD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Фомина</dc:creator>
  <cp:lastModifiedBy>Алексей Гороховиков</cp:lastModifiedBy>
  <cp:revision>5</cp:revision>
  <cp:lastPrinted>2014-07-29T17:35:00Z</cp:lastPrinted>
  <dcterms:created xsi:type="dcterms:W3CDTF">2014-06-17T08:33:00Z</dcterms:created>
  <dcterms:modified xsi:type="dcterms:W3CDTF">2014-07-29T17:46:00Z</dcterms:modified>
</cp:coreProperties>
</file>