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p14">
  <w:body>
    <w:p>
      <w:pPr>
        <w:pStyle w:val="254"/>
        <w:ind w:hanging="0"/>
        <w:jc w:val="center"/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ДОГОВОР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О ЗАДАТКЕ</w:t>
      </w:r>
      <w:r/>
    </w:p>
    <w:p>
      <w:pPr>
        <w:pStyle w:val="255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255"/>
        <w:jc w:val="center"/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г. Вол</w:t>
      </w:r>
      <w:r>
        <w:rPr>
          <w:rFonts w:ascii="Times New Roman" w:hAnsi="Times New Roman"/>
          <w:b/>
        </w:rPr>
        <w:t xml:space="preserve">жский</w:t>
        <w:tab/>
        <w:tab/>
        <w:tab/>
        <w:tab/>
      </w:r>
      <w:r>
        <w:rPr>
          <w:rFonts w:ascii="Times New Roman" w:hAnsi="Times New Roman"/>
          <w:b/>
        </w:rPr>
        <w:tab/>
        <w:tab/>
      </w:r>
      <w:r>
        <w:rPr>
          <w:rFonts w:ascii="Times New Roman" w:hAnsi="Times New Roman"/>
          <w:b/>
        </w:rPr>
        <w:tab/>
        <w:tab/>
        <w:tab/>
        <w:t xml:space="preserve">«_</w:t>
      </w:r>
      <w:r>
        <w:rPr>
          <w:rFonts w:ascii="Times New Roman" w:hAnsi="Times New Roman"/>
          <w:b/>
        </w:rPr>
        <w:t xml:space="preserve">_</w:t>
      </w:r>
      <w:r>
        <w:rPr>
          <w:rFonts w:ascii="Times New Roman" w:hAnsi="Times New Roman"/>
          <w:b/>
        </w:rPr>
        <w:t xml:space="preserve">__» ___</w:t>
      </w:r>
      <w:r>
        <w:rPr>
          <w:rFonts w:ascii="Times New Roman" w:hAnsi="Times New Roman"/>
          <w:b/>
        </w:rPr>
        <w:t xml:space="preserve">_______</w:t>
      </w:r>
      <w:r>
        <w:rPr>
          <w:rFonts w:ascii="Times New Roman" w:hAnsi="Times New Roman"/>
          <w:b/>
        </w:rPr>
        <w:t xml:space="preserve">______ 201</w:t>
      </w:r>
      <w:r>
        <w:rPr>
          <w:rFonts w:ascii="Times New Roman" w:hAnsi="Times New Roman"/>
          <w:b/>
        </w:rPr>
        <w:t xml:space="preserve">8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г.</w:t>
      </w:r>
      <w:r/>
    </w:p>
    <w:p>
      <w:pPr>
        <w:pStyle w:val="255"/>
        <w:widowControl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232"/>
        <w:ind w:left="34" w:firstLine="730"/>
        <w:jc w:val="both"/>
        <w:shd w:val="clear" w:color="auto" w:fill="FFFFFF"/>
        <w:rPr>
          <w:color w:val="000000"/>
        </w:rPr>
      </w:pPr>
      <w:r>
        <w:rPr>
          <w:b/>
        </w:rPr>
      </w:r>
      <w:r>
        <w:rPr>
          <w:b/>
          <w:sz w:val="20"/>
        </w:rPr>
        <w:t xml:space="preserve">Конкурсный управляющий </w:t>
      </w:r>
      <w:r>
        <w:rPr>
          <w:b/>
          <w:bCs/>
          <w:sz w:val="20"/>
        </w:rPr>
        <w:t xml:space="preserve">ООО «</w:t>
      </w:r>
      <w:r>
        <w:rPr>
          <w:b/>
          <w:bCs/>
          <w:sz w:val="20"/>
        </w:rPr>
        <w:t xml:space="preserve">Комстрой» </w:t>
      </w:r>
      <w:r>
        <w:rPr>
          <w:b/>
          <w:sz w:val="20"/>
        </w:rPr>
        <w:t xml:space="preserve">Харитонов Роман Александрович</w:t>
      </w:r>
      <w:r>
        <w:rPr>
          <w:b/>
          <w:bCs/>
          <w:sz w:val="20"/>
        </w:rPr>
        <w:t xml:space="preserve">,</w:t>
      </w:r>
      <w:r>
        <w:rPr>
          <w:sz w:val="20"/>
        </w:rPr>
        <w:t xml:space="preserve"> именуемый в дальнейшем </w:t>
      </w:r>
      <w:r>
        <w:rPr>
          <w:b/>
          <w:sz w:val="20"/>
        </w:rPr>
        <w:t xml:space="preserve">«</w:t>
      </w:r>
      <w:r>
        <w:rPr>
          <w:b/>
          <w:sz w:val="20"/>
        </w:rPr>
        <w:t xml:space="preserve">ОРГАНИЗАТОР</w:t>
      </w:r>
      <w:r>
        <w:rPr>
          <w:b/>
          <w:sz w:val="20"/>
        </w:rPr>
        <w:t xml:space="preserve">»</w:t>
      </w:r>
      <w:r>
        <w:rPr>
          <w:sz w:val="20"/>
        </w:rPr>
        <w:t xml:space="preserve">, </w:t>
      </w:r>
      <w:r>
        <w:rPr>
          <w:color w:val="000000"/>
          <w:spacing w:val="0"/>
          <w:sz w:val="20"/>
        </w:rPr>
        <w:t xml:space="preserve">действующ</w:t>
      </w:r>
      <w:r>
        <w:rPr>
          <w:color w:val="000000"/>
          <w:spacing w:val="0"/>
          <w:sz w:val="20"/>
        </w:rPr>
        <w:t xml:space="preserve">ий</w:t>
      </w:r>
      <w:r>
        <w:rPr>
          <w:color w:val="000000"/>
          <w:spacing w:val="0"/>
          <w:sz w:val="20"/>
        </w:rPr>
        <w:t xml:space="preserve"> на основании решения Арбитражного суда Волгоградской области </w:t>
      </w:r>
      <w:r>
        <w:rPr>
          <w:rFonts w:ascii="Times New Roman" w:hAnsi="Times New Roman"/>
          <w:b w:val="false"/>
          <w:bCs w:val="false"/>
          <w:sz w:val="20"/>
          <w:szCs w:val="22"/>
        </w:rPr>
        <w:t xml:space="preserve">по делу № </w:t>
      </w:r>
      <w:r>
        <w:rPr>
          <w:rFonts w:ascii="Times New Roman" w:hAnsi="Times New Roman" w:eastAsia="Calibri"/>
          <w:b w:val="false"/>
          <w:bCs w:val="false"/>
          <w:sz w:val="20"/>
          <w:szCs w:val="22"/>
        </w:rPr>
        <w:t xml:space="preserve">А12-45436/2018</w:t>
      </w:r>
      <w:r>
        <w:rPr>
          <w:rFonts w:ascii="Times New Roman" w:hAnsi="Times New Roman"/>
          <w:b w:val="false"/>
          <w:bCs w:val="false"/>
          <w:sz w:val="20"/>
          <w:szCs w:val="22"/>
        </w:rPr>
        <w:t xml:space="preserve"> от 17 июля 2019 года </w:t>
      </w:r>
      <w:r>
        <w:rPr>
          <w:color w:val="000000"/>
          <w:spacing w:val="0"/>
          <w:sz w:val="20"/>
        </w:rPr>
        <w:t xml:space="preserve">, </w:t>
      </w:r>
      <w:r>
        <w:rPr>
          <w:color w:val="000000"/>
          <w:spacing w:val="0"/>
          <w:sz w:val="20"/>
        </w:rPr>
        <w:t xml:space="preserve">с </w:t>
      </w:r>
      <w:r>
        <w:rPr>
          <w:color w:val="000000"/>
          <w:sz w:val="20"/>
        </w:rPr>
        <w:t xml:space="preserve">одной стороны,  </w:t>
      </w:r>
      <w:r/>
      <w:r>
        <w:rPr>
          <w:color w:val="000000"/>
        </w:rPr>
        <w:t xml:space="preserve">и </w:t>
      </w:r>
      <w:r>
        <w:rPr>
          <w:color w:val="000000"/>
        </w:rPr>
        <w:t xml:space="preserve">___________________________________________________________</w:t>
      </w:r>
      <w:r/>
    </w:p>
    <w:p>
      <w:pPr>
        <w:pStyle w:val="232"/>
        <w:ind w:left="34" w:hanging="32"/>
        <w:jc w:val="both"/>
        <w:shd w:val="clear" w:color="auto" w:fill="FFFFFF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_________________________________________________________________________________________________</w:t>
      </w:r>
      <w:r>
        <w:rPr>
          <w:color w:val="000000"/>
        </w:rPr>
        <w:t xml:space="preserve">____</w:t>
      </w:r>
      <w:r>
        <w:rPr>
          <w:color w:val="000000"/>
        </w:rPr>
        <w:t xml:space="preserve">_____</w:t>
      </w:r>
      <w:r/>
    </w:p>
    <w:p>
      <w:pPr>
        <w:pStyle w:val="232"/>
        <w:ind w:left="34" w:hanging="32"/>
        <w:jc w:val="both"/>
        <w:shd w:val="clear" w:color="auto" w:fill="FFFFFF"/>
      </w:pPr>
      <w:r>
        <w:rPr>
          <w:b/>
          <w:bCs/>
          <w:color w:val="000000"/>
          <w:spacing w:val="0"/>
        </w:rPr>
        <w:t xml:space="preserve">________________________________________________________</w:t>
      </w:r>
      <w:r>
        <w:rPr>
          <w:b/>
          <w:bCs/>
          <w:color w:val="000000"/>
          <w:spacing w:val="0"/>
        </w:rPr>
        <w:t xml:space="preserve">_____</w:t>
      </w:r>
      <w:r>
        <w:rPr>
          <w:b/>
          <w:bCs/>
          <w:color w:val="000000"/>
          <w:spacing w:val="0"/>
        </w:rPr>
        <w:t xml:space="preserve">____________________</w:t>
      </w:r>
      <w:r>
        <w:rPr>
          <w:color w:val="000000"/>
        </w:rPr>
        <w:t xml:space="preserve"> именуем___ в дальнейшем </w:t>
      </w:r>
      <w:r>
        <w:rPr>
          <w:b/>
          <w:color w:val="000000"/>
        </w:rPr>
        <w:t xml:space="preserve">«</w:t>
      </w:r>
      <w:r>
        <w:rPr>
          <w:b/>
          <w:color w:val="000000"/>
        </w:rPr>
        <w:t xml:space="preserve">ПРЕТЕНДЕНТ</w:t>
      </w:r>
      <w:r>
        <w:rPr>
          <w:b/>
          <w:color w:val="000000"/>
        </w:rPr>
        <w:t xml:space="preserve">»</w:t>
      </w:r>
      <w:r>
        <w:rPr>
          <w:color w:val="000000"/>
        </w:rPr>
        <w:t xml:space="preserve">, с другой стороны, </w:t>
      </w:r>
      <w:r>
        <w:t xml:space="preserve">а вместе именуемые «Стороны», заключили настоящий Договор о нижеследующем:</w:t>
      </w:r>
      <w:r/>
    </w:p>
    <w:p>
      <w:pPr>
        <w:pStyle w:val="255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254"/>
        <w:ind w:hanging="0"/>
        <w:jc w:val="center"/>
        <w:widowControl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ПРЕДМЕТ ДОГОВОРА</w:t>
      </w:r>
      <w:r>
        <w:rPr>
          <w:rFonts w:ascii="Times New Roman" w:hAnsi="Times New Roman"/>
        </w:rPr>
      </w:r>
      <w:r/>
    </w:p>
    <w:p>
      <w:pPr>
        <w:pStyle w:val="232"/>
        <w:numPr>
          <w:ilvl w:val="1"/>
          <w:numId w:val="4"/>
        </w:numPr>
        <w:jc w:val="both"/>
      </w:pPr>
      <w:r>
        <w:t xml:space="preserve">В соответствии с информационным сообщением о проведении </w:t>
      </w:r>
      <w:r>
        <w:t xml:space="preserve">торгов по </w:t>
      </w:r>
      <w:r>
        <w:t xml:space="preserve">продаже </w:t>
      </w:r>
      <w:r>
        <w:rPr>
          <w:b/>
        </w:rPr>
        <w:t xml:space="preserve">ЛОТ № </w:t>
      </w:r>
      <w:r>
        <w:rPr>
          <w:b/>
        </w:rPr>
        <w:t xml:space="preserve">1</w:t>
      </w:r>
      <w:r>
        <w:rPr>
          <w:b/>
        </w:rPr>
        <w:t xml:space="preserve">:</w:t>
      </w:r>
      <w:r>
        <w:t xml:space="preserve"> </w:t>
      </w:r>
      <w:r/>
    </w:p>
    <w:p>
      <w:pPr>
        <w:pStyle w:val="232"/>
        <w:ind w:left="495"/>
        <w:jc w:val="both"/>
      </w:pPr>
      <w:r/>
      <w:r/>
    </w:p>
    <w:tbl>
      <w:tblPr>
        <w:tblW w:w="0" w:type="auto"/>
        <w:tblInd w:w="108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93"/>
        <w:gridCol w:w="7087"/>
        <w:gridCol w:w="2552"/>
      </w:tblGrid>
      <w:tr>
        <w:trPr/>
        <w:tc>
          <w:tcPr>
            <w:tcBorders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232"/>
              <w:jc w:val="center"/>
              <w:rPr>
                <w:b/>
              </w:rPr>
            </w:pPr>
            <w:r>
              <w:rPr>
                <w:b/>
              </w:rPr>
              <w:t xml:space="preserve">№ лота</w:t>
            </w:r>
            <w:r/>
          </w:p>
        </w:tc>
        <w:tc>
          <w:tcPr>
            <w:tcBorders>
              <w:bottom w:val="single" w:color="000000" w:sz="4" w:space="0"/>
            </w:tcBorders>
            <w:tcW w:w="7087" w:type="dxa"/>
            <w:vAlign w:val="top"/>
            <w:textDirection w:val="lrTb"/>
            <w:noWrap w:val="false"/>
          </w:tcPr>
          <w:p>
            <w:pPr>
              <w:pStyle w:val="232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объекта</w:t>
            </w:r>
            <w:r/>
          </w:p>
        </w:tc>
        <w:tc>
          <w:tcPr>
            <w:tcBorders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232"/>
              <w:jc w:val="center"/>
              <w:rPr>
                <w:b/>
              </w:rPr>
            </w:pPr>
            <w:r>
              <w:rPr>
                <w:b/>
              </w:rPr>
              <w:t xml:space="preserve">Начальная продажная цена (руб.)</w:t>
            </w:r>
            <w:r/>
          </w:p>
        </w:tc>
      </w:tr>
      <w:tr>
        <w:trPr/>
        <w:tc>
          <w:tcPr>
            <w:tcBorders>
              <w:top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2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Лот № 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7087" w:type="dxa"/>
            <w:vAlign w:val="top"/>
            <w:textDirection w:val="lrTb"/>
            <w:noWrap w:val="false"/>
          </w:tcPr>
          <w:p>
            <w:pPr>
              <w:pStyle w:val="26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sz w:val="20"/>
                <w:szCs w:val="22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  <w:t xml:space="preserve">Грузовое бортовое транспортное средство 2824 ВК, 2015 года выпуска, </w:t>
            </w:r>
            <w:r>
              <w:rPr>
                <w:bCs/>
                <w:sz w:val="20"/>
                <w:szCs w:val="20"/>
                <w:lang w:val="en-US"/>
              </w:rPr>
              <w:t xml:space="preserve">VIN XU42824BKF0001523</w:t>
            </w:r>
            <w:r>
              <w:rPr>
                <w:bCs/>
                <w:sz w:val="20"/>
                <w:szCs w:val="20"/>
                <w:lang w:val="ru-RU"/>
              </w:rPr>
              <w:t xml:space="preserve">, </w:t>
            </w:r>
            <w:r>
              <w:rPr>
                <w:bCs/>
                <w:sz w:val="20"/>
                <w:szCs w:val="20"/>
                <w:lang w:val="ru-RU"/>
              </w:rPr>
              <w:t xml:space="preserve">государственный регистрационный знак В438МК134</w:t>
            </w:r>
            <w:r/>
            <w:r>
              <w:rPr>
                <w:sz w:val="20"/>
                <w:szCs w:val="22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232"/>
              <w:ind w:left="57" w:right="34"/>
              <w:rPr>
                <w:sz w:val="20"/>
              </w:rPr>
            </w:pPr>
            <w:r>
              <w:rPr>
                <w:sz w:val="20"/>
              </w:rPr>
              <w:t xml:space="preserve">486 000</w:t>
            </w:r>
            <w:r>
              <w:rPr>
                <w:sz w:val="20"/>
              </w:rPr>
              <w:t xml:space="preserve">,00</w:t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232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7087" w:type="dxa"/>
            <w:vAlign w:val="top"/>
            <w:textDirection w:val="lrTb"/>
            <w:noWrap w:val="false"/>
          </w:tcPr>
          <w:p>
            <w:pPr>
              <w:pStyle w:val="232"/>
              <w:ind w:left="57"/>
              <w:rPr>
                <w:b/>
              </w:rPr>
            </w:pPr>
            <w:r>
              <w:rPr>
                <w:b/>
              </w:rPr>
              <w:t xml:space="preserve">Итого</w:t>
            </w:r>
            <w:r/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232"/>
              <w:ind w:left="57" w:right="57"/>
              <w:rPr>
                <w:b/>
              </w:rPr>
            </w:pPr>
            <w:r>
              <w:rPr>
                <w:b/>
              </w:rPr>
              <w:t xml:space="preserve">486 000</w:t>
            </w:r>
            <w:r>
              <w:rPr>
                <w:b/>
              </w:rPr>
              <w:t xml:space="preserve">,00</w:t>
            </w:r>
            <w:r/>
          </w:p>
        </w:tc>
      </w:tr>
    </w:tbl>
    <w:p>
      <w:pPr>
        <w:pStyle w:val="232"/>
        <w:ind w:left="495"/>
        <w:jc w:val="both"/>
        <w:rPr>
          <w:b/>
        </w:rPr>
      </w:pPr>
      <w:r>
        <w:rPr>
          <w:b/>
        </w:rPr>
      </w:r>
      <w:r/>
    </w:p>
    <w:p>
      <w:pPr>
        <w:pStyle w:val="232"/>
        <w:jc w:val="both"/>
      </w:pPr>
      <w:r>
        <w:t xml:space="preserve">Претендент вносит, а Организатор принимает задаток на участие в аукционе.</w:t>
      </w:r>
      <w:r/>
    </w:p>
    <w:p>
      <w:pPr>
        <w:pStyle w:val="233"/>
        <w:ind w:left="0" w:hanging="0"/>
        <w:jc w:val="both"/>
        <w:widowControl w:val="off"/>
        <w:tabs>
          <w:tab w:val="left" w:pos="0" w:leader="none"/>
        </w:tabs>
        <w:rPr>
          <w:b w:val="false"/>
          <w:sz w:val="20"/>
          <w:szCs w:val="20"/>
        </w:rPr>
      </w:pPr>
      <w:r>
        <w:rPr>
          <w:sz w:val="20"/>
          <w:szCs w:val="20"/>
        </w:rPr>
        <w:t xml:space="preserve">1.2.</w:t>
      </w:r>
      <w:r>
        <w:rPr>
          <w:sz w:val="20"/>
          <w:szCs w:val="20"/>
        </w:rPr>
        <w:t xml:space="preserve"> </w:t>
      </w:r>
      <w:r>
        <w:rPr>
          <w:b w:val="false"/>
          <w:sz w:val="20"/>
          <w:szCs w:val="20"/>
        </w:rPr>
        <w:t xml:space="preserve">Размер </w:t>
      </w:r>
      <w:r>
        <w:rPr>
          <w:b w:val="false"/>
          <w:sz w:val="20"/>
          <w:szCs w:val="20"/>
        </w:rPr>
        <w:t xml:space="preserve">задатка составляет 10</w:t>
      </w:r>
      <w:r>
        <w:rPr>
          <w:b w:val="false"/>
          <w:sz w:val="20"/>
          <w:szCs w:val="20"/>
        </w:rPr>
        <w:t xml:space="preserve"> (</w:t>
      </w:r>
      <w:r>
        <w:rPr>
          <w:b w:val="false"/>
          <w:sz w:val="20"/>
          <w:szCs w:val="20"/>
        </w:rPr>
        <w:t xml:space="preserve">десять)</w:t>
      </w:r>
      <w:r>
        <w:rPr>
          <w:b w:val="false"/>
          <w:sz w:val="20"/>
          <w:szCs w:val="20"/>
        </w:rPr>
        <w:t xml:space="preserve"> % от </w:t>
      </w:r>
      <w:r>
        <w:rPr>
          <w:b w:val="false"/>
          <w:sz w:val="20"/>
          <w:szCs w:val="20"/>
        </w:rPr>
        <w:t xml:space="preserve">начальной продажной цены </w:t>
      </w:r>
      <w:r>
        <w:rPr>
          <w:b w:val="false"/>
          <w:sz w:val="20"/>
          <w:szCs w:val="20"/>
        </w:rPr>
        <w:t xml:space="preserve">лота</w:t>
      </w:r>
      <w:r>
        <w:rPr>
          <w:b w:val="false"/>
          <w:sz w:val="20"/>
          <w:szCs w:val="20"/>
        </w:rPr>
        <w:t xml:space="preserve"> и подлежит внесению по</w:t>
      </w:r>
      <w:r>
        <w:rPr>
          <w:b w:val="false"/>
          <w:sz w:val="20"/>
          <w:szCs w:val="20"/>
        </w:rPr>
        <w:t xml:space="preserve"> следующим </w:t>
      </w:r>
      <w:r>
        <w:rPr>
          <w:b w:val="false"/>
          <w:sz w:val="20"/>
          <w:szCs w:val="20"/>
        </w:rPr>
        <w:t xml:space="preserve">реквизитам:</w:t>
      </w:r>
      <w:r>
        <w:rPr>
          <w:b w:val="false"/>
          <w:sz w:val="20"/>
          <w:szCs w:val="20"/>
        </w:rPr>
        <w:t xml:space="preserve"> </w:t>
      </w:r>
      <w:r>
        <w:rPr>
          <w:b w:val="false"/>
          <w:sz w:val="20"/>
          <w:szCs w:val="20"/>
        </w:rPr>
        <w:t xml:space="preserve">р\с </w:t>
      </w:r>
      <w:r>
        <w:rPr>
          <w:b w:val="false"/>
          <w:sz w:val="20"/>
          <w:szCs w:val="20"/>
        </w:rPr>
      </w:r>
      <w:r>
        <w:rPr>
          <w:rFonts w:ascii="Times New Roman" w:hAnsi="Times New Roman" w:cs="Times New Roman" w:eastAsia="Times New Roman"/>
          <w:b w:val="false"/>
          <w:sz w:val="20"/>
        </w:rPr>
        <w:t xml:space="preserve">№ </w:t>
      </w:r>
      <w:r>
        <w:rPr>
          <w:rFonts w:ascii="Times New Roman" w:hAnsi="Times New Roman" w:cs="Times New Roman" w:eastAsia="Times New Roman"/>
          <w:b w:val="false"/>
          <w:sz w:val="20"/>
          <w:szCs w:val="22"/>
        </w:rPr>
        <w:t xml:space="preserve">40702810001000014577</w:t>
      </w:r>
      <w:r>
        <w:rPr>
          <w:rFonts w:ascii="Times New Roman" w:hAnsi="Times New Roman" w:cs="Times New Roman" w:eastAsia="Times New Roman"/>
          <w:b w:val="false"/>
          <w:sz w:val="20"/>
        </w:rPr>
        <w:t xml:space="preserve"> в Южный ф-л ПАО "Промсвязьбанк" г. Волгоград, </w:t>
      </w:r>
      <w:r>
        <w:rPr>
          <w:rFonts w:ascii="Times New Roman" w:hAnsi="Times New Roman" w:cs="Times New Roman" w:eastAsia="Times New Roman"/>
          <w:b w:val="false"/>
          <w:sz w:val="20"/>
        </w:rPr>
        <w:t xml:space="preserve">БИК </w:t>
      </w:r>
      <w:r>
        <w:rPr>
          <w:rFonts w:ascii="Times New Roman" w:hAnsi="Times New Roman" w:cs="Times New Roman" w:eastAsia="Times New Roman"/>
          <w:b w:val="false"/>
          <w:color w:val="333333"/>
          <w:sz w:val="20"/>
          <w:highlight w:val="white"/>
        </w:rPr>
        <w:t xml:space="preserve">041806715</w:t>
      </w:r>
      <w:r>
        <w:rPr>
          <w:rFonts w:ascii="Times New Roman" w:hAnsi="Times New Roman" w:cs="Times New Roman" w:eastAsia="Times New Roman"/>
          <w:b w:val="false"/>
          <w:sz w:val="20"/>
        </w:rPr>
        <w:t xml:space="preserve">, </w:t>
      </w:r>
      <w:r>
        <w:rPr>
          <w:rFonts w:ascii="Times New Roman" w:hAnsi="Times New Roman" w:cs="Times New Roman" w:eastAsia="Times New Roman"/>
          <w:b w:val="false"/>
          <w:sz w:val="20"/>
        </w:rPr>
        <w:t xml:space="preserve">к/с № 30101810100000000715</w:t>
      </w:r>
      <w:r/>
      <w:r>
        <w:rPr>
          <w:b w:val="false"/>
          <w:sz w:val="20"/>
          <w:szCs w:val="20"/>
        </w:rPr>
      </w:r>
      <w:r>
        <w:rPr>
          <w:b w:val="false"/>
          <w:sz w:val="20"/>
          <w:szCs w:val="20"/>
        </w:rPr>
        <w:t xml:space="preserve">.</w:t>
      </w:r>
      <w:r>
        <w:rPr>
          <w:b w:val="false"/>
          <w:sz w:val="20"/>
          <w:szCs w:val="20"/>
        </w:rPr>
      </w:r>
      <w:r/>
    </w:p>
    <w:p>
      <w:pPr>
        <w:pStyle w:val="232"/>
        <w:jc w:val="both"/>
        <w:rPr>
          <w:color w:val="000000"/>
        </w:rPr>
      </w:pPr>
      <w:r>
        <w:rPr>
          <w:color w:val="000000"/>
        </w:rPr>
      </w:r>
      <w:r/>
    </w:p>
    <w:p>
      <w:pPr>
        <w:pStyle w:val="254"/>
        <w:ind w:hanging="0"/>
        <w:jc w:val="center"/>
        <w:widowControl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ПОРЯДОК РАСЧЕТОВ</w:t>
      </w:r>
      <w:r>
        <w:rPr>
          <w:rFonts w:ascii="Times New Roman" w:hAnsi="Times New Roman"/>
        </w:rPr>
      </w:r>
      <w:r/>
    </w:p>
    <w:p>
      <w:pPr>
        <w:pStyle w:val="254"/>
        <w:ind w:hanging="0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2.1</w:t>
      </w:r>
      <w:r>
        <w:rPr>
          <w:rFonts w:ascii="Times New Roman" w:hAnsi="Times New Roman"/>
        </w:rPr>
        <w:t xml:space="preserve">.Претендент перечисляет на расчетный счет Организатора всю сумму задатка, указанную в пункте </w:t>
      </w:r>
      <w:r>
        <w:rPr>
          <w:rFonts w:ascii="Times New Roman" w:hAnsi="Times New Roman"/>
          <w:b/>
        </w:rPr>
        <w:t xml:space="preserve">1.2</w:t>
      </w:r>
      <w:r>
        <w:rPr>
          <w:rFonts w:ascii="Times New Roman" w:hAnsi="Times New Roman"/>
        </w:rPr>
        <w:t xml:space="preserve"> настоящего Договора, и одновременно с подачей заявки на участие в аукционе предъявляет копию платежного поручения с отметкой банка о его исполнении.</w:t>
      </w:r>
      <w:r/>
    </w:p>
    <w:p>
      <w:pPr>
        <w:pStyle w:val="254"/>
        <w:ind w:hanging="0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2.2.</w:t>
      </w:r>
      <w:r>
        <w:rPr>
          <w:rFonts w:ascii="Times New Roman" w:hAnsi="Times New Roman"/>
        </w:rPr>
        <w:t xml:space="preserve">Претендент в платежном поручении в назначении платежа указывает: «Задаток за учас</w:t>
      </w:r>
      <w:r>
        <w:rPr>
          <w:rFonts w:ascii="Times New Roman" w:hAnsi="Times New Roman"/>
        </w:rPr>
        <w:t xml:space="preserve">тие в торгах по продаже лота №</w:t>
      </w:r>
      <w:r>
        <w:rPr>
          <w:rFonts w:ascii="Times New Roman" w:hAnsi="Times New Roman"/>
        </w:rPr>
        <w:t xml:space="preserve">1</w:t>
      </w:r>
      <w:r>
        <w:rPr>
          <w:rFonts w:ascii="Times New Roman" w:hAnsi="Times New Roman"/>
        </w:rPr>
        <w:t xml:space="preserve">».</w:t>
      </w:r>
      <w:r/>
    </w:p>
    <w:p>
      <w:pPr>
        <w:pStyle w:val="254"/>
        <w:ind w:hanging="0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254"/>
        <w:ind w:hanging="0"/>
        <w:jc w:val="center"/>
        <w:widowControl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 ПРАВА И ОБЯЗАННОСТИ СТОРОН</w:t>
      </w:r>
      <w:r>
        <w:rPr>
          <w:rFonts w:ascii="Times New Roman" w:hAnsi="Times New Roman"/>
        </w:rPr>
      </w:r>
      <w:r/>
    </w:p>
    <w:p>
      <w:pPr>
        <w:pStyle w:val="254"/>
        <w:ind w:hanging="0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3.1.</w:t>
      </w:r>
      <w:r>
        <w:rPr>
          <w:rFonts w:ascii="Times New Roman" w:hAnsi="Times New Roman"/>
        </w:rPr>
        <w:t xml:space="preserve">Претендент перечисляет, а Организатор принимает задаток на участие в аукционе согласно условиям настоящего Договора.</w:t>
      </w:r>
      <w:r/>
    </w:p>
    <w:p>
      <w:pPr>
        <w:pStyle w:val="254"/>
        <w:ind w:hanging="0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3.2. </w:t>
      </w:r>
      <w:r>
        <w:rPr>
          <w:rFonts w:ascii="Times New Roman" w:hAnsi="Times New Roman"/>
        </w:rPr>
        <w:t xml:space="preserve">Претенденту, который признан участником аукциона, присваивается статус Участника.</w:t>
      </w:r>
      <w:r/>
    </w:p>
    <w:p>
      <w:pPr>
        <w:pStyle w:val="254"/>
        <w:ind w:hanging="0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3.3.</w:t>
      </w:r>
      <w:r>
        <w:rPr>
          <w:rFonts w:ascii="Times New Roman" w:hAnsi="Times New Roman"/>
        </w:rPr>
        <w:t xml:space="preserve">Организатор возвращает задаток на расчетный счет Претендента (Участника), указанный в Договоре, в случае, если:</w:t>
      </w:r>
      <w:r/>
    </w:p>
    <w:p>
      <w:pPr>
        <w:pStyle w:val="254"/>
        <w:ind w:hanging="0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3.3.1.</w:t>
      </w:r>
      <w:r>
        <w:rPr>
          <w:rFonts w:ascii="Times New Roman" w:hAnsi="Times New Roman"/>
        </w:rPr>
        <w:t xml:space="preserve">Участник не будет признан победителем аукциона. Задаток возвращается в течение 5 (пяти) банковских дней со дня проведения аукциона.</w:t>
      </w:r>
      <w:r/>
    </w:p>
    <w:p>
      <w:pPr>
        <w:pStyle w:val="254"/>
        <w:ind w:hanging="0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3.3.2.</w:t>
      </w:r>
      <w:r>
        <w:rPr>
          <w:rFonts w:ascii="Times New Roman" w:hAnsi="Times New Roman"/>
        </w:rPr>
        <w:t xml:space="preserve">Аукцион признан несостоявшимся. Задаток возвращается в течение 5 (пяти) банковских дней после подписания протокола об итогах аукциона.</w:t>
      </w:r>
      <w:r/>
    </w:p>
    <w:p>
      <w:pPr>
        <w:pStyle w:val="254"/>
        <w:ind w:hanging="0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3.3.3.</w:t>
      </w:r>
      <w:r>
        <w:rPr>
          <w:rFonts w:ascii="Times New Roman" w:hAnsi="Times New Roman"/>
        </w:rPr>
        <w:t xml:space="preserve">Претендент отзывает заявку до даты окончания приема заявок. Задаток возвращается в течение 5 (пяти)  банковских дней после окончания торгов.</w:t>
      </w:r>
      <w:r/>
    </w:p>
    <w:p>
      <w:pPr>
        <w:pStyle w:val="254"/>
        <w:ind w:hanging="0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3.3.4.</w:t>
      </w:r>
      <w:r>
        <w:rPr>
          <w:rFonts w:ascii="Times New Roman" w:hAnsi="Times New Roman"/>
        </w:rPr>
        <w:t xml:space="preserve">Претендент не признан участником аукциона. Задаток возвращается в течение 5 (пяти)  банковских дней со дня принятия решения о непризнании участником аукциона.</w:t>
      </w:r>
      <w:r/>
    </w:p>
    <w:p>
      <w:pPr>
        <w:pStyle w:val="254"/>
        <w:ind w:hanging="0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3.4.</w:t>
      </w:r>
      <w:r>
        <w:rPr>
          <w:rFonts w:ascii="Times New Roman" w:hAnsi="Times New Roman"/>
        </w:rPr>
        <w:t xml:space="preserve">Задаток не может быть истребован Участником к возврату до истечения 5 (пяти) банковских дней со дня проведения аукциона.</w:t>
      </w:r>
      <w:r/>
    </w:p>
    <w:p>
      <w:pPr>
        <w:pStyle w:val="254"/>
        <w:ind w:hanging="0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3.5.</w:t>
      </w:r>
      <w:r>
        <w:rPr>
          <w:rFonts w:ascii="Times New Roman" w:hAnsi="Times New Roman"/>
        </w:rPr>
        <w:t xml:space="preserve">В случае объявления Участника победителем аукциона сумма внесенного им задатка подлежит зачёту в счёт оплаты за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лот</w:t>
      </w:r>
      <w:r>
        <w:rPr>
          <w:rFonts w:ascii="Times New Roman" w:hAnsi="Times New Roman"/>
        </w:rPr>
        <w:t xml:space="preserve">.</w:t>
      </w:r>
      <w:r/>
    </w:p>
    <w:p>
      <w:pPr>
        <w:pStyle w:val="254"/>
        <w:ind w:hanging="0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3.6</w:t>
      </w:r>
      <w:r>
        <w:rPr>
          <w:rFonts w:ascii="Times New Roman" w:hAnsi="Times New Roman"/>
          <w:b/>
        </w:rPr>
        <w:t xml:space="preserve">.</w:t>
      </w:r>
      <w:r>
        <w:rPr>
          <w:rFonts w:ascii="Times New Roman" w:hAnsi="Times New Roman"/>
        </w:rPr>
        <w:t xml:space="preserve"> Организатор не возвращает задаток в случае:</w:t>
      </w:r>
      <w:r/>
    </w:p>
    <w:p>
      <w:pPr>
        <w:pStyle w:val="254"/>
        <w:ind w:hanging="0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</w:t>
      </w:r>
      <w:r>
        <w:rPr>
          <w:rFonts w:ascii="Times New Roman" w:hAnsi="Times New Roman"/>
          <w:b/>
        </w:rPr>
        <w:t xml:space="preserve">6</w:t>
      </w:r>
      <w:r>
        <w:rPr>
          <w:rFonts w:ascii="Times New Roman" w:hAnsi="Times New Roman"/>
          <w:b/>
        </w:rPr>
        <w:t xml:space="preserve">.1.</w:t>
      </w:r>
      <w:r>
        <w:rPr>
          <w:rFonts w:ascii="Times New Roman" w:hAnsi="Times New Roman"/>
        </w:rPr>
        <w:t xml:space="preserve">Отказа Участника от подписания протокола об итогах торгов и/или отказа в течение десяти банковских дней со дня проведения торгов заключения договор купли-продажи с организатором торгов.</w:t>
      </w:r>
      <w:r/>
    </w:p>
    <w:p>
      <w:pPr>
        <w:pStyle w:val="254"/>
        <w:ind w:hanging="0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3.6</w:t>
      </w:r>
      <w:r>
        <w:rPr>
          <w:rFonts w:ascii="Times New Roman" w:hAnsi="Times New Roman"/>
          <w:b/>
        </w:rPr>
        <w:t xml:space="preserve">.2.</w:t>
      </w:r>
      <w:r>
        <w:rPr>
          <w:rFonts w:ascii="Times New Roman" w:hAnsi="Times New Roman"/>
        </w:rPr>
        <w:t xml:space="preserve">Отзыва Претендентом заявки после даты окончания приема заявок. </w:t>
      </w:r>
      <w:r>
        <w:rPr>
          <w:rFonts w:ascii="Times New Roman" w:hAnsi="Times New Roman"/>
        </w:rPr>
      </w:r>
      <w:r/>
    </w:p>
    <w:p>
      <w:pPr>
        <w:pStyle w:val="254"/>
        <w:ind w:hanging="0"/>
        <w:jc w:val="both"/>
        <w:widowControl/>
        <w:tabs>
          <w:tab w:val="left" w:pos="0" w:leader="none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3.7</w:t>
      </w:r>
      <w:r>
        <w:rPr>
          <w:rFonts w:ascii="Times New Roman" w:hAnsi="Times New Roman"/>
          <w:b/>
        </w:rPr>
        <w:t xml:space="preserve">.</w:t>
      </w:r>
      <w:r>
        <w:rPr>
          <w:rFonts w:ascii="Times New Roman" w:hAnsi="Times New Roman"/>
        </w:rPr>
        <w:t xml:space="preserve">На денежные средства, перечисленные Претендентом на расчетный счет Организатора в счет задатка, проценты не начисляются.</w:t>
      </w:r>
      <w:r>
        <w:rPr>
          <w:rFonts w:ascii="Times New Roman" w:hAnsi="Times New Roman"/>
        </w:rPr>
      </w:r>
      <w:r/>
    </w:p>
    <w:p>
      <w:pPr>
        <w:pStyle w:val="254"/>
        <w:ind w:hanging="0"/>
        <w:jc w:val="both"/>
        <w:widowControl/>
        <w:tabs>
          <w:tab w:val="left" w:pos="0" w:leader="none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3.8</w:t>
      </w:r>
      <w:r>
        <w:rPr>
          <w:rFonts w:ascii="Times New Roman" w:hAnsi="Times New Roman"/>
          <w:b/>
        </w:rPr>
        <w:t xml:space="preserve">.</w:t>
      </w:r>
      <w:r>
        <w:rPr>
          <w:rFonts w:ascii="Times New Roman" w:hAnsi="Times New Roman"/>
        </w:rPr>
        <w:t xml:space="preserve">В случае, предусмотренном настоящим договором</w:t>
      </w:r>
      <w:r>
        <w:rPr>
          <w:rFonts w:ascii="Times New Roman" w:hAnsi="Times New Roman"/>
        </w:rPr>
        <w:t xml:space="preserve">,</w:t>
      </w:r>
      <w:r>
        <w:rPr>
          <w:rFonts w:ascii="Times New Roman" w:hAnsi="Times New Roman"/>
        </w:rPr>
        <w:t xml:space="preserve"> задаток подлежит возврату по следующим реквизитам: </w:t>
      </w:r>
      <w:r>
        <w:rPr>
          <w:rFonts w:ascii="Times New Roman" w:hAnsi="Times New Roman"/>
          <w:b/>
        </w:rPr>
        <w:t xml:space="preserve">_______________________________________</w:t>
      </w:r>
      <w:r>
        <w:rPr>
          <w:rFonts w:ascii="Times New Roman" w:hAnsi="Times New Roman"/>
          <w:b/>
        </w:rPr>
        <w:t xml:space="preserve">_______________________________________</w:t>
      </w:r>
      <w:r>
        <w:rPr>
          <w:rFonts w:ascii="Times New Roman" w:hAnsi="Times New Roman"/>
          <w:b/>
        </w:rPr>
        <w:t xml:space="preserve">________________________</w:t>
      </w:r>
      <w:r/>
    </w:p>
    <w:p>
      <w:pPr>
        <w:pStyle w:val="254"/>
        <w:ind w:hanging="0"/>
        <w:jc w:val="both"/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__________________________________________________</w:t>
      </w:r>
      <w:r>
        <w:rPr>
          <w:rFonts w:ascii="Times New Roman" w:hAnsi="Times New Roman"/>
          <w:b/>
        </w:rPr>
        <w:t xml:space="preserve">__________________</w:t>
      </w:r>
      <w:r>
        <w:rPr>
          <w:rFonts w:ascii="Times New Roman" w:hAnsi="Times New Roman"/>
          <w:b/>
        </w:rPr>
        <w:t xml:space="preserve">__________________________________</w:t>
      </w:r>
      <w:r/>
    </w:p>
    <w:p>
      <w:pPr>
        <w:pStyle w:val="254"/>
        <w:ind w:hanging="0"/>
        <w:jc w:val="both"/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__________________________________________________</w:t>
      </w:r>
      <w:r>
        <w:rPr>
          <w:rFonts w:ascii="Times New Roman" w:hAnsi="Times New Roman"/>
          <w:b/>
        </w:rPr>
        <w:t xml:space="preserve">__________________</w:t>
      </w:r>
      <w:r>
        <w:rPr>
          <w:rFonts w:ascii="Times New Roman" w:hAnsi="Times New Roman"/>
          <w:b/>
        </w:rPr>
        <w:t xml:space="preserve">__________________________________.</w:t>
      </w:r>
      <w:r/>
    </w:p>
    <w:p>
      <w:pPr>
        <w:pStyle w:val="254"/>
        <w:ind w:hanging="0"/>
        <w:jc w:val="both"/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254"/>
        <w:ind w:hanging="0"/>
        <w:jc w:val="center"/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РЕКВИЗИТЫ И ПОДПИСИ СТОРОН</w:t>
      </w:r>
      <w:r/>
    </w:p>
    <w:p>
      <w:pPr>
        <w:pStyle w:val="254"/>
        <w:ind w:hanging="0"/>
        <w:jc w:val="center"/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tbl>
      <w:tblPr>
        <w:tblW w:w="0" w:type="auto"/>
        <w:tblInd w:w="2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29"/>
        <w:gridCol w:w="5244"/>
      </w:tblGrid>
      <w:tr>
        <w:trPr>
          <w:trHeight w:val="375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329" w:type="dxa"/>
            <w:vAlign w:val="center"/>
            <w:textDirection w:val="lrTb"/>
            <w:noWrap w:val="false"/>
          </w:tcPr>
          <w:p>
            <w:pPr>
              <w:pStyle w:val="255"/>
              <w:widowControl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t xml:space="preserve">Организатор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pStyle w:val="255"/>
              <w:jc w:val="left"/>
              <w:widowControl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t xml:space="preserve">Претендент</w:t>
            </w:r>
            <w:r/>
          </w:p>
        </w:tc>
      </w:tr>
    </w:tbl>
    <w:p>
      <w:pPr>
        <w:pStyle w:val="255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sectPr>
      <w:footerReference w:type="default" r:id="rId8"/>
      <w:footnotePr/>
      <w:type w:val="nextPage"/>
      <w:pgSz w:w="11906" w:h="16838"/>
      <w:pgMar w:top="567" w:right="566" w:bottom="567" w:left="709" w:gutter="0" w:header="720" w:footer="709"/>
      <w:cols w:num="1" w:sep="0" w:space="72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</w:font>
  <w:font w:name="Andale Sans UI">
    <w:panose1 w:val="020B0604020202020204"/>
  </w:font>
  <w:font w:name="Courier New">
    <w:panose1 w:val="02070309020205020404"/>
  </w:font>
  <w:font w:name="Lucida Sans Unicode">
    <w:panose1 w:val="020B060203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p14">
  <w:p>
    <w:pPr>
      <w:pStyle w:val="256"/>
      <w:ind w:right="360"/>
      <w:tabs>
        <w:tab w:val="clear" w:pos="4677" w:leader="none"/>
        <w:tab w:val="clear" w:pos="9355" w:leader="none"/>
        <w:tab w:val="right" w:pos="10271" w:leader="none"/>
      </w:tabs>
    </w:pPr>
    <w:r>
      <w:tab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232"/>
        <w:ind w:left="432" w:hanging="430"/>
        <w:tabs>
          <w:tab w:val="left" w:pos="0" w:leader="none"/>
        </w:tabs>
      </w:pPr>
    </w:lvl>
    <w:lvl w:ilvl="1">
      <w:start w:val="1"/>
      <w:numFmt w:val="decimal"/>
      <w:pStyle w:val="233"/>
      <w:suff w:val="nothing"/>
      <w:lvlText w:val=""/>
      <w:lvlJc w:val="left"/>
      <w:pPr>
        <w:pStyle w:val="232"/>
        <w:ind w:left="576" w:hanging="574"/>
        <w:tabs>
          <w:tab w:val="left" w:pos="0" w:leader="none"/>
        </w:tabs>
      </w:pPr>
    </w:lvl>
    <w:lvl w:ilvl="2">
      <w:start w:val="1"/>
      <w:numFmt w:val="decimal"/>
      <w:suff w:val="nothing"/>
      <w:lvlText w:val=""/>
      <w:lvlJc w:val="left"/>
      <w:pPr>
        <w:pStyle w:val="232"/>
        <w:ind w:left="720" w:hanging="718"/>
        <w:tabs>
          <w:tab w:val="left" w:pos="0" w:leader="none"/>
        </w:tabs>
      </w:pPr>
    </w:lvl>
    <w:lvl w:ilvl="3">
      <w:start w:val="1"/>
      <w:numFmt w:val="decimal"/>
      <w:suff w:val="nothing"/>
      <w:lvlText w:val=""/>
      <w:lvlJc w:val="left"/>
      <w:pPr>
        <w:pStyle w:val="232"/>
        <w:ind w:left="864" w:hanging="862"/>
        <w:tabs>
          <w:tab w:val="left" w:pos="0" w:leader="none"/>
        </w:tabs>
      </w:pPr>
    </w:lvl>
    <w:lvl w:ilvl="4">
      <w:start w:val="1"/>
      <w:numFmt w:val="decimal"/>
      <w:suff w:val="nothing"/>
      <w:lvlText w:val=""/>
      <w:lvlJc w:val="left"/>
      <w:pPr>
        <w:pStyle w:val="232"/>
        <w:ind w:left="1008" w:hanging="1006"/>
        <w:tabs>
          <w:tab w:val="left" w:pos="0" w:leader="none"/>
        </w:tabs>
      </w:pPr>
    </w:lvl>
    <w:lvl w:ilvl="5">
      <w:start w:val="1"/>
      <w:numFmt w:val="decimal"/>
      <w:suff w:val="nothing"/>
      <w:lvlText w:val=""/>
      <w:lvlJc w:val="left"/>
      <w:pPr>
        <w:pStyle w:val="232"/>
        <w:ind w:left="1152" w:hanging="1150"/>
        <w:tabs>
          <w:tab w:val="left" w:pos="0" w:leader="none"/>
        </w:tabs>
      </w:pPr>
    </w:lvl>
    <w:lvl w:ilvl="6">
      <w:start w:val="1"/>
      <w:numFmt w:val="decimal"/>
      <w:suff w:val="nothing"/>
      <w:lvlText w:val=""/>
      <w:lvlJc w:val="left"/>
      <w:pPr>
        <w:pStyle w:val="232"/>
        <w:ind w:left="1296" w:hanging="1294"/>
        <w:tabs>
          <w:tab w:val="left" w:pos="0" w:leader="none"/>
        </w:tabs>
      </w:pPr>
    </w:lvl>
    <w:lvl w:ilvl="7">
      <w:start w:val="1"/>
      <w:numFmt w:val="decimal"/>
      <w:suff w:val="nothing"/>
      <w:lvlText w:val=""/>
      <w:lvlJc w:val="left"/>
      <w:pPr>
        <w:pStyle w:val="232"/>
        <w:ind w:left="1440" w:hanging="1438"/>
        <w:tabs>
          <w:tab w:val="left" w:pos="0" w:leader="none"/>
        </w:tabs>
      </w:pPr>
    </w:lvl>
    <w:lvl w:ilvl="8">
      <w:start w:val="1"/>
      <w:numFmt w:val="decimal"/>
      <w:suff w:val="nothing"/>
      <w:lvlText w:val=""/>
      <w:lvlJc w:val="left"/>
      <w:pPr>
        <w:pStyle w:val="232"/>
        <w:ind w:left="1584" w:hanging="1582"/>
        <w:tabs>
          <w:tab w:val="left" w:pos="0" w:leader="none"/>
        </w:tabs>
      </w:pPr>
    </w:lvl>
  </w:abstractNum>
  <w:abstractNum w:abstractNumId="1">
    <w:multiLevelType w:val="hybridMultilevel"/>
    <w:lvl w:ilvl="0">
      <w:start w:val="3"/>
      <w:numFmt w:val="decimal"/>
      <w:suff w:val="tab"/>
      <w:lvlText w:val="%1."/>
      <w:lvlJc w:val="left"/>
      <w:pPr>
        <w:pStyle w:val="232"/>
        <w:ind w:left="720" w:hanging="358"/>
        <w:tabs>
          <w:tab w:val="left" w:pos="720" w:leader="none"/>
        </w:tabs>
      </w:pPr>
      <w:rPr>
        <w:b/>
        <w:bCs/>
      </w:rPr>
    </w:lvl>
    <w:lvl w:ilvl="1">
      <w:start w:val="8"/>
      <w:numFmt w:val="decimal"/>
      <w:suff w:val="tab"/>
      <w:lvlText w:val="%1.%2."/>
      <w:lvlJc w:val="left"/>
      <w:pPr>
        <w:pStyle w:val="232"/>
        <w:ind w:left="1080" w:hanging="358"/>
        <w:tabs>
          <w:tab w:val="left" w:pos="1080" w:leader="none"/>
        </w:tabs>
      </w:pPr>
      <w:rPr>
        <w:b/>
        <w:bCs/>
      </w:rPr>
    </w:lvl>
    <w:lvl w:ilvl="2">
      <w:start w:val="1"/>
      <w:numFmt w:val="decimal"/>
      <w:suff w:val="tab"/>
      <w:lvlText w:val="%1.%2.%3."/>
      <w:lvlJc w:val="left"/>
      <w:pPr>
        <w:pStyle w:val="232"/>
        <w:ind w:left="1440" w:hanging="358"/>
        <w:tabs>
          <w:tab w:val="left" w:pos="1440" w:leader="none"/>
        </w:tabs>
      </w:pPr>
    </w:lvl>
    <w:lvl w:ilvl="3">
      <w:start w:val="1"/>
      <w:numFmt w:val="decimal"/>
      <w:suff w:val="tab"/>
      <w:lvlText w:val="%1.%2.%3.%4."/>
      <w:lvlJc w:val="left"/>
      <w:pPr>
        <w:pStyle w:val="232"/>
        <w:ind w:left="1800" w:hanging="358"/>
        <w:tabs>
          <w:tab w:val="left" w:pos="1800" w:leader="none"/>
        </w:tabs>
      </w:pPr>
    </w:lvl>
    <w:lvl w:ilvl="4">
      <w:start w:val="1"/>
      <w:numFmt w:val="decimal"/>
      <w:suff w:val="tab"/>
      <w:lvlText w:val="%1.%2.%3.%4.%5."/>
      <w:lvlJc w:val="left"/>
      <w:pPr>
        <w:pStyle w:val="232"/>
        <w:ind w:left="2160" w:hanging="358"/>
        <w:tabs>
          <w:tab w:val="left" w:pos="2160" w:leader="none"/>
        </w:tabs>
      </w:pPr>
    </w:lvl>
    <w:lvl w:ilvl="5">
      <w:start w:val="1"/>
      <w:numFmt w:val="decimal"/>
      <w:suff w:val="tab"/>
      <w:lvlText w:val="%1.%2.%3.%4.%5.%6."/>
      <w:lvlJc w:val="left"/>
      <w:pPr>
        <w:pStyle w:val="232"/>
        <w:ind w:left="2520" w:hanging="358"/>
        <w:tabs>
          <w:tab w:val="left" w:pos="2520" w:leader="none"/>
        </w:tabs>
      </w:pPr>
    </w:lvl>
    <w:lvl w:ilvl="6">
      <w:start w:val="1"/>
      <w:numFmt w:val="decimal"/>
      <w:suff w:val="tab"/>
      <w:lvlText w:val="%1.%2.%3.%4.%5.%6.%7."/>
      <w:lvlJc w:val="left"/>
      <w:pPr>
        <w:pStyle w:val="232"/>
        <w:ind w:left="2880" w:hanging="358"/>
        <w:tabs>
          <w:tab w:val="left" w:pos="2880" w:leader="none"/>
        </w:tabs>
      </w:pPr>
    </w:lvl>
    <w:lvl w:ilvl="7">
      <w:start w:val="1"/>
      <w:numFmt w:val="decimal"/>
      <w:suff w:val="tab"/>
      <w:lvlText w:val="%1.%2.%3.%4.%5.%6.%7.%8."/>
      <w:lvlJc w:val="left"/>
      <w:pPr>
        <w:pStyle w:val="232"/>
        <w:ind w:left="3240" w:hanging="358"/>
        <w:tabs>
          <w:tab w:val="left" w:pos="3240" w:leader="none"/>
        </w:tabs>
      </w:pPr>
    </w:lvl>
    <w:lvl w:ilvl="8">
      <w:start w:val="1"/>
      <w:numFmt w:val="decimal"/>
      <w:suff w:val="tab"/>
      <w:lvlText w:val="%1.%2.%3.%4.%5.%6.%7.%8.%9."/>
      <w:lvlJc w:val="left"/>
      <w:pPr>
        <w:pStyle w:val="232"/>
        <w:ind w:left="3600" w:hanging="358"/>
        <w:tabs>
          <w:tab w:val="left" w:pos="3600" w:leader="none"/>
        </w:tabs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232"/>
        <w:ind w:left="720" w:hanging="358"/>
        <w:tabs>
          <w:tab w:val="left" w:pos="720" w:leader="none"/>
        </w:tabs>
      </w:pPr>
    </w:lvl>
    <w:lvl w:ilvl="1">
      <w:start w:val="1"/>
      <w:numFmt w:val="decimal"/>
      <w:suff w:val="tab"/>
      <w:lvlText w:val="%2)"/>
      <w:lvlJc w:val="left"/>
      <w:pPr>
        <w:pStyle w:val="232"/>
        <w:ind w:left="1080" w:hanging="358"/>
        <w:tabs>
          <w:tab w:val="left" w:pos="1080" w:leader="none"/>
        </w:tabs>
      </w:pPr>
    </w:lvl>
    <w:lvl w:ilvl="2">
      <w:start w:val="1"/>
      <w:numFmt w:val="decimal"/>
      <w:suff w:val="tab"/>
      <w:lvlText w:val="%3."/>
      <w:lvlJc w:val="left"/>
      <w:pPr>
        <w:pStyle w:val="232"/>
        <w:ind w:left="1440" w:hanging="358"/>
        <w:tabs>
          <w:tab w:val="left" w:pos="1440" w:leader="none"/>
        </w:tabs>
      </w:pPr>
    </w:lvl>
    <w:lvl w:ilvl="3">
      <w:start w:val="1"/>
      <w:numFmt w:val="decimal"/>
      <w:suff w:val="tab"/>
      <w:lvlText w:val="%4."/>
      <w:lvlJc w:val="left"/>
      <w:pPr>
        <w:pStyle w:val="232"/>
        <w:ind w:left="1800" w:hanging="358"/>
        <w:tabs>
          <w:tab w:val="left" w:pos="1800" w:leader="none"/>
        </w:tabs>
      </w:pPr>
    </w:lvl>
    <w:lvl w:ilvl="4">
      <w:start w:val="1"/>
      <w:numFmt w:val="decimal"/>
      <w:suff w:val="tab"/>
      <w:lvlText w:val="%5."/>
      <w:lvlJc w:val="left"/>
      <w:pPr>
        <w:pStyle w:val="232"/>
        <w:ind w:left="2160" w:hanging="358"/>
        <w:tabs>
          <w:tab w:val="left" w:pos="2160" w:leader="none"/>
        </w:tabs>
      </w:pPr>
    </w:lvl>
    <w:lvl w:ilvl="5">
      <w:start w:val="1"/>
      <w:numFmt w:val="decimal"/>
      <w:suff w:val="tab"/>
      <w:lvlText w:val="%6."/>
      <w:lvlJc w:val="left"/>
      <w:pPr>
        <w:pStyle w:val="232"/>
        <w:ind w:left="2520" w:hanging="358"/>
        <w:tabs>
          <w:tab w:val="left" w:pos="2520" w:leader="none"/>
        </w:tabs>
      </w:pPr>
    </w:lvl>
    <w:lvl w:ilvl="6">
      <w:start w:val="1"/>
      <w:numFmt w:val="decimal"/>
      <w:suff w:val="tab"/>
      <w:lvlText w:val="%7."/>
      <w:lvlJc w:val="left"/>
      <w:pPr>
        <w:pStyle w:val="232"/>
        <w:ind w:left="2880" w:hanging="358"/>
        <w:tabs>
          <w:tab w:val="left" w:pos="2880" w:leader="none"/>
        </w:tabs>
      </w:pPr>
    </w:lvl>
    <w:lvl w:ilvl="7">
      <w:start w:val="1"/>
      <w:numFmt w:val="decimal"/>
      <w:suff w:val="tab"/>
      <w:lvlText w:val="%8."/>
      <w:lvlJc w:val="left"/>
      <w:pPr>
        <w:pStyle w:val="232"/>
        <w:ind w:left="3240" w:hanging="358"/>
        <w:tabs>
          <w:tab w:val="left" w:pos="3240" w:leader="none"/>
        </w:tabs>
      </w:pPr>
    </w:lvl>
    <w:lvl w:ilvl="8">
      <w:start w:val="1"/>
      <w:numFmt w:val="decimal"/>
      <w:suff w:val="tab"/>
      <w:lvlText w:val="%9."/>
      <w:lvlJc w:val="left"/>
      <w:pPr>
        <w:pStyle w:val="232"/>
        <w:ind w:left="3600" w:hanging="358"/>
        <w:tabs>
          <w:tab w:val="left" w:pos="3600" w:leader="none"/>
        </w:tabs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232"/>
        <w:ind w:left="495" w:hanging="493"/>
      </w:pPr>
      <w:rPr>
        <w:b/>
      </w:rPr>
    </w:lvl>
    <w:lvl w:ilvl="1">
      <w:start w:val="1"/>
      <w:numFmt w:val="decimal"/>
      <w:suff w:val="tab"/>
      <w:lvlText w:val="%1.%2."/>
      <w:lvlJc w:val="left"/>
      <w:pPr>
        <w:pStyle w:val="232"/>
        <w:ind w:left="495" w:hanging="493"/>
      </w:pPr>
      <w:rPr>
        <w:b/>
      </w:rPr>
    </w:lvl>
    <w:lvl w:ilvl="2">
      <w:start w:val="1"/>
      <w:numFmt w:val="decimal"/>
      <w:suff w:val="tab"/>
      <w:lvlText w:val="%1.%2.%3."/>
      <w:lvlJc w:val="left"/>
      <w:pPr>
        <w:pStyle w:val="232"/>
        <w:ind w:left="720" w:hanging="718"/>
      </w:pPr>
      <w:rPr>
        <w:b/>
      </w:rPr>
    </w:lvl>
    <w:lvl w:ilvl="3">
      <w:start w:val="1"/>
      <w:numFmt w:val="decimal"/>
      <w:suff w:val="tab"/>
      <w:lvlText w:val="%1.%2.%3.%4."/>
      <w:lvlJc w:val="left"/>
      <w:pPr>
        <w:pStyle w:val="232"/>
        <w:ind w:left="720" w:hanging="718"/>
      </w:pPr>
      <w:rPr>
        <w:b/>
      </w:rPr>
    </w:lvl>
    <w:lvl w:ilvl="4">
      <w:start w:val="1"/>
      <w:numFmt w:val="decimal"/>
      <w:suff w:val="tab"/>
      <w:lvlText w:val="%1.%2.%3.%4.%5."/>
      <w:lvlJc w:val="left"/>
      <w:pPr>
        <w:pStyle w:val="232"/>
        <w:ind w:left="1080" w:hanging="1078"/>
      </w:pPr>
      <w:rPr>
        <w:b/>
      </w:rPr>
    </w:lvl>
    <w:lvl w:ilvl="5">
      <w:start w:val="1"/>
      <w:numFmt w:val="decimal"/>
      <w:suff w:val="tab"/>
      <w:lvlText w:val="%1.%2.%3.%4.%5.%6."/>
      <w:lvlJc w:val="left"/>
      <w:pPr>
        <w:pStyle w:val="232"/>
        <w:ind w:left="1080" w:hanging="1078"/>
      </w:pPr>
      <w:rPr>
        <w:b/>
      </w:rPr>
    </w:lvl>
    <w:lvl w:ilvl="6">
      <w:start w:val="1"/>
      <w:numFmt w:val="decimal"/>
      <w:suff w:val="tab"/>
      <w:lvlText w:val="%1.%2.%3.%4.%5.%6.%7."/>
      <w:lvlJc w:val="left"/>
      <w:pPr>
        <w:pStyle w:val="232"/>
        <w:ind w:left="1440" w:hanging="1438"/>
      </w:pPr>
      <w:rPr>
        <w:b/>
      </w:rPr>
    </w:lvl>
    <w:lvl w:ilvl="7">
      <w:start w:val="1"/>
      <w:numFmt w:val="decimal"/>
      <w:suff w:val="tab"/>
      <w:lvlText w:val="%1.%2.%3.%4.%5.%6.%7.%8."/>
      <w:lvlJc w:val="left"/>
      <w:pPr>
        <w:pStyle w:val="232"/>
        <w:ind w:left="1440" w:hanging="1438"/>
      </w:pPr>
      <w:rPr>
        <w:b/>
      </w:rPr>
    </w:lvl>
    <w:lvl w:ilvl="8">
      <w:start w:val="1"/>
      <w:numFmt w:val="decimal"/>
      <w:suff w:val="tab"/>
      <w:lvlText w:val="%1.%2.%3.%4.%5.%6.%7.%8.%9."/>
      <w:lvlJc w:val="left"/>
      <w:pPr>
        <w:pStyle w:val="232"/>
        <w:ind w:left="1800" w:hanging="1798"/>
      </w:pPr>
      <w:rPr>
        <w:b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232"/>
        <w:ind w:left="720" w:hanging="357"/>
        <w:tabs>
          <w:tab w:val="left" w:pos="720" w:leader="none"/>
        </w:tabs>
      </w:pPr>
    </w:lvl>
    <w:lvl w:ilvl="1">
      <w:start w:val="1"/>
      <w:numFmt w:val="decimal"/>
      <w:suff w:val="tab"/>
      <w:lvlText w:val="%2)"/>
      <w:lvlJc w:val="left"/>
      <w:pPr>
        <w:pStyle w:val="232"/>
        <w:ind w:left="1080" w:hanging="357"/>
        <w:tabs>
          <w:tab w:val="left" w:pos="1080" w:leader="none"/>
        </w:tabs>
      </w:pPr>
    </w:lvl>
    <w:lvl w:ilvl="2">
      <w:start w:val="1"/>
      <w:numFmt w:val="decimal"/>
      <w:suff w:val="tab"/>
      <w:lvlText w:val="%3."/>
      <w:lvlJc w:val="left"/>
      <w:pPr>
        <w:pStyle w:val="232"/>
        <w:ind w:left="1440" w:hanging="357"/>
        <w:tabs>
          <w:tab w:val="left" w:pos="1440" w:leader="none"/>
        </w:tabs>
      </w:pPr>
    </w:lvl>
    <w:lvl w:ilvl="3">
      <w:start w:val="1"/>
      <w:numFmt w:val="decimal"/>
      <w:suff w:val="tab"/>
      <w:lvlText w:val="%4."/>
      <w:lvlJc w:val="left"/>
      <w:pPr>
        <w:pStyle w:val="232"/>
        <w:ind w:left="1800" w:hanging="357"/>
        <w:tabs>
          <w:tab w:val="left" w:pos="1800" w:leader="none"/>
        </w:tabs>
      </w:pPr>
    </w:lvl>
    <w:lvl w:ilvl="4">
      <w:start w:val="1"/>
      <w:numFmt w:val="decimal"/>
      <w:suff w:val="tab"/>
      <w:lvlText w:val="%5."/>
      <w:lvlJc w:val="left"/>
      <w:pPr>
        <w:pStyle w:val="232"/>
        <w:ind w:left="2160" w:hanging="357"/>
        <w:tabs>
          <w:tab w:val="left" w:pos="2160" w:leader="none"/>
        </w:tabs>
      </w:pPr>
    </w:lvl>
    <w:lvl w:ilvl="5">
      <w:start w:val="1"/>
      <w:numFmt w:val="decimal"/>
      <w:suff w:val="tab"/>
      <w:lvlText w:val="%6."/>
      <w:lvlJc w:val="left"/>
      <w:pPr>
        <w:pStyle w:val="232"/>
        <w:ind w:left="2520" w:hanging="357"/>
        <w:tabs>
          <w:tab w:val="left" w:pos="2520" w:leader="none"/>
        </w:tabs>
      </w:pPr>
    </w:lvl>
    <w:lvl w:ilvl="6">
      <w:start w:val="1"/>
      <w:numFmt w:val="decimal"/>
      <w:suff w:val="tab"/>
      <w:lvlText w:val="%7."/>
      <w:lvlJc w:val="left"/>
      <w:pPr>
        <w:pStyle w:val="232"/>
        <w:ind w:left="2880" w:hanging="357"/>
        <w:tabs>
          <w:tab w:val="left" w:pos="2880" w:leader="none"/>
        </w:tabs>
      </w:pPr>
    </w:lvl>
    <w:lvl w:ilvl="7">
      <w:start w:val="1"/>
      <w:numFmt w:val="decimal"/>
      <w:suff w:val="tab"/>
      <w:lvlText w:val="%8."/>
      <w:lvlJc w:val="left"/>
      <w:pPr>
        <w:pStyle w:val="232"/>
        <w:ind w:left="3240" w:hanging="357"/>
        <w:tabs>
          <w:tab w:val="left" w:pos="3240" w:leader="none"/>
        </w:tabs>
      </w:pPr>
    </w:lvl>
    <w:lvl w:ilvl="8">
      <w:start w:val="1"/>
      <w:numFmt w:val="decimal"/>
      <w:suff w:val="tab"/>
      <w:lvlText w:val="%9."/>
      <w:lvlJc w:val="left"/>
      <w:pPr>
        <w:pStyle w:val="232"/>
        <w:ind w:left="3600" w:hanging="357"/>
        <w:tabs>
          <w:tab w:val="left" w:pos="360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hanging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70">
    <w:name w:val="Heading 1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character" w:styleId="171">
    <w:name w:val="Heading 1 Char"/>
    <w:uiPriority w:val="9"/>
    <w:rPr>
      <w:rFonts w:ascii="Arial" w:hAnsi="Arial" w:cs="Arial" w:eastAsia="Arial"/>
      <w:b/>
      <w:bCs/>
      <w:color w:val="000000" w:themeColor="text1"/>
      <w:sz w:val="48"/>
      <w:szCs w:val="48"/>
    </w:rPr>
  </w:style>
  <w:style w:type="paragraph" w:styleId="172">
    <w:name w:val="Heading 2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character" w:styleId="173">
    <w:name w:val="Heading 2 Char"/>
    <w:uiPriority w:val="9"/>
    <w:rPr>
      <w:rFonts w:ascii="Arial" w:hAnsi="Arial" w:cs="Arial" w:eastAsia="Arial"/>
      <w:b/>
      <w:bCs/>
      <w:color w:val="000000" w:themeColor="text1"/>
      <w:sz w:val="40"/>
      <w:szCs w:val="40"/>
    </w:rPr>
  </w:style>
  <w:style w:type="paragraph" w:styleId="174">
    <w:name w:val="Heading 3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character" w:styleId="175">
    <w:name w:val="Heading 3 Char"/>
    <w:uiPriority w:val="9"/>
    <w:rPr>
      <w:rFonts w:ascii="Arial" w:hAnsi="Arial" w:cs="Arial" w:eastAsia="Arial"/>
      <w:b/>
      <w:bCs/>
      <w:i/>
      <w:iCs/>
      <w:color w:val="000000" w:themeColor="text1"/>
      <w:sz w:val="40"/>
      <w:szCs w:val="40"/>
    </w:rPr>
  </w:style>
  <w:style w:type="paragraph" w:styleId="176">
    <w:name w:val="Heading 4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character" w:styleId="177">
    <w:name w:val="Heading 4 Char"/>
    <w:uiPriority w:val="9"/>
    <w:rPr>
      <w:rFonts w:ascii="Arial" w:hAnsi="Arial" w:cs="Arial" w:eastAsia="Arial"/>
      <w:color w:val="232323"/>
      <w:sz w:val="32"/>
      <w:szCs w:val="32"/>
    </w:rPr>
  </w:style>
  <w:style w:type="paragraph" w:styleId="178">
    <w:name w:val="Heading 5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character" w:styleId="179">
    <w:name w:val="Heading 5 Char"/>
    <w:uiPriority w:val="9"/>
    <w:rPr>
      <w:rFonts w:ascii="Arial" w:hAnsi="Arial" w:cs="Arial" w:eastAsia="Arial"/>
      <w:b/>
      <w:bCs/>
      <w:color w:val="444444"/>
      <w:sz w:val="28"/>
      <w:szCs w:val="28"/>
    </w:rPr>
  </w:style>
  <w:style w:type="paragraph" w:styleId="180">
    <w:name w:val="Heading 6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character" w:styleId="181">
    <w:name w:val="Heading 6 Char"/>
    <w:uiPriority w:val="9"/>
    <w:rPr>
      <w:rFonts w:ascii="Arial" w:hAnsi="Arial" w:cs="Arial" w:eastAsia="Arial"/>
      <w:i/>
      <w:iCs/>
      <w:color w:val="232323"/>
      <w:sz w:val="28"/>
      <w:szCs w:val="28"/>
    </w:rPr>
  </w:style>
  <w:style w:type="paragraph" w:styleId="182">
    <w:name w:val="Heading 7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character" w:styleId="183">
    <w:name w:val="Heading 7 Char"/>
    <w:uiPriority w:val="9"/>
    <w:rPr>
      <w:rFonts w:ascii="Arial" w:hAnsi="Arial" w:cs="Arial" w:eastAsia="Arial"/>
      <w:b/>
      <w:bCs/>
      <w:color w:val="606060"/>
      <w:sz w:val="28"/>
      <w:szCs w:val="28"/>
    </w:rPr>
  </w:style>
  <w:style w:type="paragraph" w:styleId="184">
    <w:name w:val="Heading 8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character" w:styleId="185">
    <w:name w:val="Heading 8 Char"/>
    <w:uiPriority w:val="9"/>
    <w:rPr>
      <w:rFonts w:ascii="Arial" w:hAnsi="Arial" w:cs="Arial" w:eastAsia="Arial"/>
      <w:color w:val="444444"/>
      <w:sz w:val="24"/>
      <w:szCs w:val="24"/>
    </w:rPr>
  </w:style>
  <w:style w:type="paragraph" w:styleId="186">
    <w:name w:val="Heading 9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character" w:styleId="187">
    <w:name w:val="Heading 9 Char"/>
    <w:uiPriority w:val="9"/>
    <w:rPr>
      <w:rFonts w:ascii="Arial" w:hAnsi="Arial" w:cs="Arial" w:eastAsia="Arial"/>
      <w:i/>
      <w:iCs/>
      <w:color w:val="444444"/>
      <w:sz w:val="23"/>
      <w:szCs w:val="23"/>
    </w:rPr>
  </w:style>
  <w:style w:type="paragraph" w:styleId="188">
    <w:name w:val="List Paragraph"/>
    <w:qFormat/>
    <w:uiPriority w:val="34"/>
    <w:pPr>
      <w:contextualSpacing w:val="true"/>
      <w:ind w:left="720"/>
    </w:pPr>
  </w:style>
  <w:style w:type="paragraph" w:styleId="189">
    <w:name w:val="No Spacing"/>
    <w:qFormat/>
    <w:uiPriority w:val="1"/>
    <w:rPr>
      <w:color w:val="000000"/>
    </w:rPr>
    <w:pPr>
      <w:spacing w:lineRule="auto" w:line="240" w:after="0"/>
    </w:pPr>
  </w:style>
  <w:style w:type="paragraph" w:styleId="190">
    <w:name w:val="Title"/>
    <w:qFormat/>
    <w:uiPriority w:val="10"/>
    <w:rPr>
      <w:b/>
      <w:color w:val="000000"/>
      <w:sz w:val="72"/>
    </w:rPr>
    <w:pPr>
      <w:spacing w:lineRule="auto" w:line="240" w:after="80" w:before="300"/>
      <w:pBdr>
        <w:bottom w:val="single" w:color="000000" w:sz="24" w:space="0"/>
      </w:pBdr>
      <w:outlineLvl w:val="0"/>
    </w:pPr>
  </w:style>
  <w:style w:type="paragraph" w:styleId="191">
    <w:name w:val="Subtitle"/>
    <w:qFormat/>
    <w:uiPriority w:val="11"/>
    <w:rPr>
      <w:i/>
      <w:color w:val="444444"/>
      <w:sz w:val="52"/>
    </w:rPr>
    <w:pPr>
      <w:spacing w:lineRule="auto" w:line="240"/>
      <w:outlineLvl w:val="0"/>
    </w:pPr>
  </w:style>
  <w:style w:type="paragraph" w:styleId="192">
    <w:name w:val="Quote"/>
    <w:qFormat/>
    <w:uiPriority w:val="29"/>
    <w:rPr>
      <w:i/>
      <w:color w:val="373737"/>
      <w:sz w:val="18"/>
    </w:rPr>
    <w:pPr>
      <w:ind w:left="3402"/>
      <w:pBdr>
        <w:left w:val="single" w:color="A6A6A6" w:sz="12" w:space="11"/>
        <w:bottom w:val="single" w:color="A6A6A6" w:sz="12" w:space="3"/>
      </w:pBdr>
    </w:pPr>
  </w:style>
  <w:style w:type="paragraph" w:styleId="193">
    <w:name w:val="Intense Quote"/>
    <w:qFormat/>
    <w:uiPriority w:val="30"/>
    <w:rPr>
      <w:i/>
      <w:color w:val="606060"/>
      <w:sz w:val="19"/>
    </w:rPr>
    <w:pPr>
      <w:ind w:left="567" w:right="567"/>
      <w:shd w:val="clear" w:color="auto" w:fill="D9D9D9"/>
      <w:pBdr>
        <w:left w:val="single" w:color="808080" w:sz="4" w:space="11"/>
        <w:top w:val="single" w:color="808080" w:sz="4" w:space="3"/>
        <w:right w:val="single" w:color="808080" w:sz="4" w:space="11"/>
        <w:bottom w:val="single" w:color="808080" w:sz="4" w:space="3"/>
      </w:pBdr>
    </w:pPr>
  </w:style>
  <w:style w:type="paragraph" w:styleId="194">
    <w:name w:val="Header"/>
    <w:uiPriority w:val="99"/>
    <w:unhideWhenUsed/>
    <w:rPr>
      <w:color w:val="000000"/>
      <w:sz w:val="22"/>
    </w:rPr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195">
    <w:name w:val="Footer"/>
    <w:uiPriority w:val="99"/>
    <w:unhideWhenUsed/>
    <w:rPr>
      <w:color w:val="000000"/>
      <w:sz w:val="22"/>
    </w:rPr>
    <w:pPr>
      <w:spacing w:lineRule="auto" w:line="240" w:after="0"/>
      <w:tabs>
        <w:tab w:val="center" w:pos="7143" w:leader="none"/>
        <w:tab w:val="right" w:pos="14287" w:leader="none"/>
      </w:tabs>
    </w:pPr>
  </w:style>
  <w:style w:type="table" w:styleId="196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97">
    <w:name w:val="Lined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198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199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00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201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02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03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204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205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206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207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208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209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210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211">
    <w:name w:val="Bordered &amp; Lined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12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13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14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215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16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17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218">
    <w:name w:val="Hyperlink"/>
    <w:uiPriority w:val="99"/>
    <w:unhideWhenUsed/>
    <w:rPr>
      <w:color w:val="0000FF" w:themeColor="hyperlink"/>
      <w:u w:val="single"/>
    </w:rPr>
  </w:style>
  <w:style w:type="paragraph" w:styleId="219">
    <w:name w:val="footnote text"/>
    <w:uiPriority w:val="99"/>
    <w:semiHidden/>
    <w:unhideWhenUsed/>
    <w:rPr>
      <w:sz w:val="20"/>
    </w:rPr>
    <w:pPr>
      <w:spacing w:lineRule="auto" w:line="240" w:after="0"/>
    </w:pPr>
  </w:style>
  <w:style w:type="character" w:styleId="220">
    <w:name w:val="Footnote Text Char"/>
    <w:uiPriority w:val="99"/>
    <w:semiHidden/>
    <w:rPr>
      <w:sz w:val="20"/>
    </w:rPr>
  </w:style>
  <w:style w:type="character" w:styleId="221">
    <w:name w:val="footnote reference"/>
    <w:uiPriority w:val="99"/>
    <w:semiHidden/>
    <w:unhideWhenUsed/>
    <w:rPr>
      <w:vertAlign w:val="superscript"/>
    </w:rPr>
  </w:style>
  <w:style w:type="paragraph" w:styleId="222">
    <w:name w:val="toc 1"/>
    <w:uiPriority w:val="39"/>
    <w:unhideWhenUsed/>
    <w:pPr>
      <w:ind w:left="0" w:right="0" w:hanging="0"/>
      <w:spacing w:after="57"/>
    </w:pPr>
  </w:style>
  <w:style w:type="paragraph" w:styleId="223">
    <w:name w:val="toc 2"/>
    <w:uiPriority w:val="39"/>
    <w:unhideWhenUsed/>
    <w:pPr>
      <w:ind w:left="283" w:right="0" w:hanging="0"/>
      <w:spacing w:after="57"/>
    </w:pPr>
  </w:style>
  <w:style w:type="paragraph" w:styleId="224">
    <w:name w:val="toc 3"/>
    <w:uiPriority w:val="39"/>
    <w:unhideWhenUsed/>
    <w:pPr>
      <w:ind w:left="567" w:right="0" w:hanging="0"/>
      <w:spacing w:after="57"/>
    </w:pPr>
  </w:style>
  <w:style w:type="paragraph" w:styleId="225">
    <w:name w:val="toc 4"/>
    <w:uiPriority w:val="39"/>
    <w:unhideWhenUsed/>
    <w:pPr>
      <w:ind w:left="850" w:right="0" w:hanging="0"/>
      <w:spacing w:after="57"/>
    </w:pPr>
  </w:style>
  <w:style w:type="paragraph" w:styleId="226">
    <w:name w:val="toc 5"/>
    <w:uiPriority w:val="39"/>
    <w:unhideWhenUsed/>
    <w:pPr>
      <w:ind w:left="1134" w:right="0" w:hanging="0"/>
      <w:spacing w:after="57"/>
    </w:pPr>
  </w:style>
  <w:style w:type="paragraph" w:styleId="227">
    <w:name w:val="toc 6"/>
    <w:uiPriority w:val="39"/>
    <w:unhideWhenUsed/>
    <w:pPr>
      <w:ind w:left="1417" w:right="0" w:hanging="0"/>
      <w:spacing w:after="57"/>
    </w:pPr>
  </w:style>
  <w:style w:type="paragraph" w:styleId="228">
    <w:name w:val="toc 7"/>
    <w:uiPriority w:val="39"/>
    <w:unhideWhenUsed/>
    <w:pPr>
      <w:ind w:left="1701" w:right="0" w:hanging="0"/>
      <w:spacing w:after="57"/>
    </w:pPr>
  </w:style>
  <w:style w:type="paragraph" w:styleId="229">
    <w:name w:val="toc 8"/>
    <w:uiPriority w:val="39"/>
    <w:unhideWhenUsed/>
    <w:pPr>
      <w:ind w:left="1984" w:right="0" w:hanging="0"/>
      <w:spacing w:after="57"/>
    </w:pPr>
  </w:style>
  <w:style w:type="paragraph" w:styleId="230">
    <w:name w:val="toc 9"/>
    <w:uiPriority w:val="39"/>
    <w:unhideWhenUsed/>
    <w:pPr>
      <w:ind w:left="2268" w:right="0" w:hanging="0"/>
      <w:spacing w:after="57"/>
    </w:pPr>
  </w:style>
  <w:style w:type="paragraph" w:styleId="231">
    <w:name w:val="TOC Heading"/>
    <w:uiPriority w:val="39"/>
    <w:unhideWhenUsed/>
  </w:style>
  <w:style w:type="paragraph" w:styleId="232">
    <w:name w:val="Обычный"/>
    <w:next w:val="232"/>
    <w:rPr>
      <w:lang w:val="ru-RU" w:bidi="ar-SA" w:eastAsia="ar-SA"/>
    </w:rPr>
  </w:style>
  <w:style w:type="paragraph" w:styleId="233">
    <w:name w:val="Заголовок 2"/>
    <w:basedOn w:val="232"/>
    <w:next w:val="232"/>
    <w:rPr>
      <w:b/>
      <w:bCs/>
      <w:sz w:val="24"/>
      <w:szCs w:val="24"/>
    </w:rPr>
    <w:pPr>
      <w:numPr>
        <w:ilvl w:val="1"/>
        <w:numId w:val="1"/>
      </w:numPr>
      <w:keepNext/>
      <w:outlineLvl w:val="1"/>
    </w:pPr>
  </w:style>
  <w:style w:type="character" w:styleId="234">
    <w:name w:val="Основной шрифт абзаца"/>
    <w:next w:val="234"/>
  </w:style>
  <w:style w:type="table" w:styleId="235">
    <w:name w:val="Обычная таблица"/>
    <w:next w:val="235"/>
    <w:semiHidden/>
    <w:tblPr/>
  </w:style>
  <w:style w:type="numbering" w:styleId="236">
    <w:name w:val="Нет списка"/>
    <w:next w:val="236"/>
    <w:semiHidden/>
  </w:style>
  <w:style w:type="character" w:styleId="237">
    <w:name w:val="WW8Num2z0"/>
    <w:next w:val="237"/>
    <w:rPr>
      <w:b/>
      <w:bCs/>
    </w:rPr>
  </w:style>
  <w:style w:type="character" w:styleId="238">
    <w:name w:val="Absatz-Standardschriftart"/>
    <w:next w:val="238"/>
  </w:style>
  <w:style w:type="character" w:styleId="239">
    <w:name w:val="WW8Num3z0"/>
    <w:next w:val="239"/>
    <w:rPr>
      <w:b/>
      <w:bCs/>
    </w:rPr>
  </w:style>
  <w:style w:type="character" w:styleId="240">
    <w:name w:val="WW-Absatz-Standardschriftart"/>
    <w:next w:val="240"/>
  </w:style>
  <w:style w:type="character" w:styleId="241">
    <w:name w:val="WW-Absatz-Standardschriftart1"/>
    <w:next w:val="241"/>
  </w:style>
  <w:style w:type="character" w:styleId="242">
    <w:name w:val="WW-Absatz-Standardschriftart11"/>
    <w:next w:val="242"/>
  </w:style>
  <w:style w:type="character" w:styleId="243">
    <w:name w:val="WW-Absatz-Standardschriftart111"/>
    <w:next w:val="243"/>
  </w:style>
  <w:style w:type="character" w:styleId="244">
    <w:name w:val="WW-Absatz-Standardschriftart1111"/>
    <w:next w:val="244"/>
  </w:style>
  <w:style w:type="character" w:styleId="245">
    <w:name w:val="WW-Absatz-Standardschriftart11111"/>
    <w:next w:val="245"/>
  </w:style>
  <w:style w:type="character" w:styleId="246">
    <w:name w:val="Основной шрифт абзаца1"/>
    <w:next w:val="246"/>
  </w:style>
  <w:style w:type="character" w:styleId="247">
    <w:name w:val="Номер страницы"/>
    <w:basedOn w:val="246"/>
    <w:next w:val="247"/>
  </w:style>
  <w:style w:type="character" w:styleId="248">
    <w:name w:val="Символ нумерации"/>
    <w:next w:val="248"/>
    <w:rPr>
      <w:b/>
      <w:bCs/>
    </w:rPr>
  </w:style>
  <w:style w:type="paragraph" w:styleId="249">
    <w:name w:val="Заголовок"/>
    <w:basedOn w:val="232"/>
    <w:next w:val="250"/>
    <w:rPr>
      <w:rFonts w:ascii="Arial" w:hAnsi="Arial" w:eastAsia="Lucida Sans Unicode"/>
      <w:sz w:val="28"/>
      <w:szCs w:val="28"/>
    </w:rPr>
    <w:pPr>
      <w:keepNext/>
      <w:spacing w:after="120" w:before="240"/>
    </w:pPr>
  </w:style>
  <w:style w:type="paragraph" w:styleId="250">
    <w:name w:val="Основной текст"/>
    <w:basedOn w:val="232"/>
    <w:next w:val="250"/>
    <w:pPr>
      <w:spacing w:after="120" w:before="0"/>
    </w:pPr>
  </w:style>
  <w:style w:type="paragraph" w:styleId="251">
    <w:name w:val="Список"/>
    <w:basedOn w:val="250"/>
    <w:next w:val="251"/>
  </w:style>
  <w:style w:type="paragraph" w:styleId="252">
    <w:name w:val="Название1"/>
    <w:basedOn w:val="232"/>
    <w:next w:val="252"/>
    <w:rPr>
      <w:i/>
      <w:iCs/>
      <w:sz w:val="24"/>
      <w:szCs w:val="24"/>
    </w:rPr>
    <w:pPr>
      <w:spacing w:after="120" w:before="120"/>
    </w:pPr>
  </w:style>
  <w:style w:type="paragraph" w:styleId="253">
    <w:name w:val="Указатель1"/>
    <w:basedOn w:val="232"/>
    <w:next w:val="253"/>
  </w:style>
  <w:style w:type="paragraph" w:styleId="254">
    <w:name w:val="ConsPlusNormal"/>
    <w:next w:val="254"/>
    <w:rPr>
      <w:rFonts w:ascii="Arial" w:hAnsi="Arial" w:eastAsia="Arial"/>
      <w:lang w:val="ru-RU" w:bidi="ar-SA" w:eastAsia="ar-SA"/>
    </w:rPr>
    <w:pPr>
      <w:ind w:firstLine="720"/>
      <w:widowControl w:val="off"/>
    </w:pPr>
  </w:style>
  <w:style w:type="paragraph" w:styleId="255">
    <w:name w:val="ConsPlusNonformat"/>
    <w:next w:val="255"/>
    <w:rPr>
      <w:rFonts w:ascii="Courier New" w:hAnsi="Courier New" w:eastAsia="Arial"/>
      <w:lang w:val="ru-RU" w:bidi="ar-SA" w:eastAsia="ar-SA"/>
    </w:rPr>
    <w:pPr>
      <w:widowControl w:val="off"/>
    </w:pPr>
  </w:style>
  <w:style w:type="paragraph" w:styleId="256">
    <w:name w:val="Нижний колонтитул"/>
    <w:basedOn w:val="232"/>
    <w:next w:val="256"/>
    <w:pPr>
      <w:tabs>
        <w:tab w:val="center" w:pos="4677" w:leader="none"/>
        <w:tab w:val="right" w:pos="9355" w:leader="none"/>
      </w:tabs>
    </w:pPr>
  </w:style>
  <w:style w:type="paragraph" w:styleId="257">
    <w:name w:val="Содержимое таблицы"/>
    <w:basedOn w:val="232"/>
    <w:next w:val="257"/>
  </w:style>
  <w:style w:type="paragraph" w:styleId="258">
    <w:name w:val="Заголовок таблицы"/>
    <w:basedOn w:val="257"/>
    <w:next w:val="258"/>
    <w:rPr>
      <w:b/>
      <w:bCs/>
    </w:rPr>
    <w:pPr>
      <w:jc w:val="center"/>
    </w:pPr>
  </w:style>
  <w:style w:type="paragraph" w:styleId="259">
    <w:name w:val="Содержимое врезки"/>
    <w:basedOn w:val="250"/>
    <w:next w:val="259"/>
  </w:style>
  <w:style w:type="paragraph" w:styleId="260">
    <w:name w:val="Верхний колонтитул"/>
    <w:basedOn w:val="232"/>
    <w:next w:val="260"/>
    <w:pPr>
      <w:tabs>
        <w:tab w:val="center" w:pos="4818" w:leader="none"/>
        <w:tab w:val="right" w:pos="9637" w:leader="none"/>
      </w:tabs>
    </w:pPr>
  </w:style>
  <w:style w:type="paragraph" w:styleId="261">
    <w:name w:val="Table Contents"/>
    <w:basedOn w:val="232"/>
    <w:next w:val="261"/>
    <w:rPr>
      <w:rFonts w:eastAsia="Andale Sans UI"/>
      <w:sz w:val="24"/>
      <w:szCs w:val="24"/>
      <w:lang w:val="de-DE" w:bidi="fa-IR" w:eastAsia="fa-IR"/>
    </w:rPr>
    <w:pPr>
      <w:widowControl w:val="off"/>
    </w:pPr>
  </w:style>
  <w:style w:type="character" w:styleId="262" w:default="1">
    <w:name w:val="Default Paragraph Font"/>
    <w:uiPriority w:val="1"/>
    <w:semiHidden/>
    <w:unhideWhenUsed/>
  </w:style>
  <w:style w:type="numbering" w:styleId="263" w:default="1">
    <w:name w:val="No List"/>
    <w:uiPriority w:val="99"/>
    <w:semiHidden/>
    <w:unhideWhenUsed/>
  </w:style>
  <w:style w:type="paragraph" w:styleId="264" w:default="1">
    <w:name w:val="Normal"/>
    <w:qFormat/>
  </w:style>
  <w:style w:type="table" w:styleId="2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ONLYOFFICE/2.4.526.0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