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F2C" w:rsidRDefault="00E67F2C" w:rsidP="00E67F2C">
      <w:pPr>
        <w:pStyle w:val="HTML1"/>
        <w:jc w:val="center"/>
        <w:rPr>
          <w:rFonts w:ascii="Times New Roman" w:hAnsi="Times New Roman" w:cs="Times New Roman"/>
          <w:color w:val="000000"/>
          <w:sz w:val="24"/>
          <w:szCs w:val="24"/>
        </w:rPr>
      </w:pPr>
      <w:r>
        <w:rPr>
          <w:rFonts w:ascii="Times New Roman" w:hAnsi="Times New Roman" w:cs="Times New Roman"/>
          <w:b/>
          <w:color w:val="000000"/>
          <w:sz w:val="24"/>
          <w:szCs w:val="24"/>
        </w:rPr>
        <w:t>Договор о задатке №___</w:t>
      </w:r>
    </w:p>
    <w:p w:rsidR="00E67F2C" w:rsidRDefault="00E67F2C" w:rsidP="00E67F2C">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E67F2C" w:rsidRDefault="00E67F2C" w:rsidP="00E67F2C">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E67F2C" w:rsidRDefault="00E67F2C" w:rsidP="00E67F2C">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Style w:val="1"/>
          <w:rFonts w:ascii="Times New Roman" w:hAnsi="Times New Roman" w:cs="Times New Roman"/>
          <w:b w:val="0"/>
          <w:sz w:val="24"/>
          <w:szCs w:val="24"/>
        </w:rPr>
        <w:t xml:space="preserve">Конкурсный управляющий </w:t>
      </w:r>
      <w:r w:rsidR="00836A56">
        <w:rPr>
          <w:rStyle w:val="1"/>
          <w:rFonts w:ascii="Times New Roman" w:hAnsi="Times New Roman" w:cs="Times New Roman"/>
          <w:b w:val="0"/>
          <w:sz w:val="24"/>
          <w:szCs w:val="24"/>
        </w:rPr>
        <w:t xml:space="preserve">ООО «Дороги Весляны» </w:t>
      </w:r>
      <w:r>
        <w:rPr>
          <w:rStyle w:val="1"/>
          <w:rFonts w:ascii="Times New Roman" w:hAnsi="Times New Roman" w:cs="Times New Roman"/>
          <w:b w:val="0"/>
          <w:sz w:val="24"/>
          <w:szCs w:val="24"/>
        </w:rPr>
        <w:t xml:space="preserve"> </w:t>
      </w:r>
      <w:proofErr w:type="spellStart"/>
      <w:r>
        <w:rPr>
          <w:rStyle w:val="1"/>
          <w:rFonts w:ascii="Times New Roman" w:hAnsi="Times New Roman" w:cs="Times New Roman"/>
          <w:b w:val="0"/>
          <w:sz w:val="24"/>
          <w:szCs w:val="24"/>
        </w:rPr>
        <w:t>Андронович</w:t>
      </w:r>
      <w:proofErr w:type="spellEnd"/>
      <w:r>
        <w:rPr>
          <w:rStyle w:val="1"/>
          <w:rFonts w:ascii="Times New Roman" w:hAnsi="Times New Roman" w:cs="Times New Roman"/>
          <w:b w:val="0"/>
          <w:sz w:val="24"/>
          <w:szCs w:val="24"/>
        </w:rPr>
        <w:t xml:space="preserve"> Светлана Константиновна, именуемая в дальнейшем «Заказчик», действующая на основании </w:t>
      </w:r>
      <w:r w:rsidR="00836A56">
        <w:rPr>
          <w:rStyle w:val="1"/>
          <w:rFonts w:ascii="Times New Roman" w:hAnsi="Times New Roman" w:cs="Times New Roman"/>
          <w:b w:val="0"/>
          <w:sz w:val="24"/>
          <w:szCs w:val="24"/>
        </w:rPr>
        <w:t>определения Арбитражного суда Пермского края от 18.12.2014 по делу №А50-45204/2013 (орг</w:t>
      </w:r>
      <w:r>
        <w:rPr>
          <w:rStyle w:val="1"/>
          <w:rFonts w:ascii="Times New Roman" w:hAnsi="Times New Roman" w:cs="Times New Roman"/>
          <w:b w:val="0"/>
          <w:sz w:val="24"/>
          <w:szCs w:val="24"/>
        </w:rPr>
        <w:t>анизатор торгов), с одной стороны,</w:t>
      </w:r>
      <w:r>
        <w:rPr>
          <w:rFonts w:ascii="Times New Roman" w:hAnsi="Times New Roman" w:cs="Times New Roman"/>
          <w:color w:val="000000"/>
          <w:sz w:val="24"/>
          <w:szCs w:val="24"/>
        </w:rPr>
        <w:t xml:space="preserve"> и </w:t>
      </w:r>
    </w:p>
    <w:p w:rsidR="00E67F2C" w:rsidRDefault="00E67F2C" w:rsidP="00E67F2C">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E67F2C" w:rsidRDefault="00E67F2C" w:rsidP="00E67F2C">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действующий на основании ______________________________________________________, (Претендент), с другой стороны, заключили настоящий Договор о нижеследующем:</w:t>
      </w:r>
    </w:p>
    <w:p w:rsidR="00E67F2C" w:rsidRDefault="00E67F2C" w:rsidP="00E67F2C">
      <w:pPr>
        <w:pStyle w:val="HTML1"/>
        <w:jc w:val="both"/>
        <w:rPr>
          <w:rFonts w:ascii="Times New Roman" w:hAnsi="Times New Roman" w:cs="Times New Roman"/>
          <w:color w:val="000000"/>
          <w:sz w:val="24"/>
          <w:szCs w:val="24"/>
        </w:rPr>
      </w:pPr>
    </w:p>
    <w:p w:rsidR="00E67F2C" w:rsidRDefault="00E67F2C" w:rsidP="00E67F2C">
      <w:pPr>
        <w:pStyle w:val="HTML1"/>
        <w:jc w:val="center"/>
        <w:rPr>
          <w:color w:val="000000"/>
        </w:rPr>
      </w:pPr>
      <w:r>
        <w:rPr>
          <w:rFonts w:ascii="Times New Roman" w:hAnsi="Times New Roman" w:cs="Times New Roman"/>
          <w:color w:val="000000"/>
          <w:sz w:val="24"/>
          <w:szCs w:val="24"/>
        </w:rPr>
        <w:t>   1. Предмет договора   </w:t>
      </w:r>
    </w:p>
    <w:p w:rsidR="00E67F2C" w:rsidRPr="00E67F2C" w:rsidRDefault="00E67F2C" w:rsidP="00E67F2C">
      <w:pPr>
        <w:tabs>
          <w:tab w:val="left" w:pos="142"/>
        </w:tabs>
        <w:jc w:val="both"/>
      </w:pPr>
      <w:r w:rsidRPr="00E67F2C">
        <w:rPr>
          <w:color w:val="000000"/>
        </w:rPr>
        <w:tab/>
      </w:r>
      <w:r w:rsidRPr="00E67F2C">
        <w:rPr>
          <w:color w:val="000000"/>
        </w:rPr>
        <w:tab/>
      </w:r>
      <w:r w:rsidRPr="00E67F2C">
        <w:rPr>
          <w:color w:val="000000"/>
        </w:rPr>
        <w:tab/>
      </w:r>
      <w:r w:rsidRPr="00E67F2C">
        <w:rPr>
          <w:color w:val="000000"/>
        </w:rPr>
        <w:tab/>
      </w:r>
      <w:r w:rsidRPr="00E67F2C">
        <w:rPr>
          <w:color w:val="000000"/>
        </w:rPr>
        <w:tab/>
      </w:r>
      <w:r w:rsidRPr="00E67F2C">
        <w:rPr>
          <w:color w:val="000000"/>
        </w:rPr>
        <w:tab/>
      </w:r>
      <w:r w:rsidRPr="00E67F2C">
        <w:rPr>
          <w:color w:val="000000"/>
        </w:rPr>
        <w:tab/>
      </w:r>
      <w:r w:rsidRPr="00E67F2C">
        <w:rPr>
          <w:color w:val="000000"/>
        </w:rPr>
        <w:tab/>
        <w:t>1.1. </w:t>
      </w:r>
      <w:proofErr w:type="gramStart"/>
      <w:r w:rsidRPr="00E67F2C">
        <w:rPr>
          <w:color w:val="000000"/>
        </w:rPr>
        <w:t xml:space="preserve">В соответствии с условиями настоящего Договора Претендент для участия в  торгах </w:t>
      </w:r>
      <w:r w:rsidRPr="00E67F2C">
        <w:t>по продаже</w:t>
      </w:r>
      <w:proofErr w:type="gramEnd"/>
      <w:r w:rsidRPr="00E67F2C">
        <w:t xml:space="preserve"> следующего имущества должника, (далее именуемого «Имущество»):  </w:t>
      </w:r>
    </w:p>
    <w:p w:rsidR="00E67F2C" w:rsidRPr="00836A56" w:rsidRDefault="00836A56" w:rsidP="00836A56">
      <w:pPr>
        <w:tabs>
          <w:tab w:val="num" w:pos="0"/>
        </w:tabs>
        <w:ind w:firstLine="426"/>
        <w:jc w:val="both"/>
      </w:pPr>
      <w:r>
        <w:t xml:space="preserve">Лот № 1: Право требования ООО «Дороги Весляны» к Мышкину Александру Анатольевичу  в размере 1600662 руб. (один миллион шестьсот тысяч шестьсот шестьдесят два рубля) 09 коп. </w:t>
      </w:r>
      <w:proofErr w:type="gramStart"/>
      <w:r>
        <w:t xml:space="preserve">Право требования подтверждено определением Арбитражного суда </w:t>
      </w:r>
      <w:r w:rsidRPr="00836A56">
        <w:t xml:space="preserve">Пермского края от 16.05.2016 по делу № А50-4524/2013., </w:t>
      </w:r>
      <w:r w:rsidR="00E67F2C" w:rsidRPr="00836A56">
        <w:tab/>
        <w:t xml:space="preserve">начальная продажная цена –  - </w:t>
      </w:r>
      <w:r w:rsidRPr="00836A56">
        <w:t>44350</w:t>
      </w:r>
      <w:r w:rsidR="00E67F2C" w:rsidRPr="00836A56">
        <w:t xml:space="preserve"> руб., проводимых  </w:t>
      </w:r>
      <w:r w:rsidRPr="00836A56">
        <w:t>26 января 2017</w:t>
      </w:r>
      <w:r w:rsidR="00E67F2C" w:rsidRPr="00836A56">
        <w:t>г. в 11 час. 00 мин. на электронной торговой площадке:</w:t>
      </w:r>
      <w:r w:rsidR="00E67F2C" w:rsidRPr="00836A56">
        <w:rPr>
          <w:b/>
        </w:rPr>
        <w:t xml:space="preserve"> </w:t>
      </w:r>
      <w:r w:rsidR="00E67F2C" w:rsidRPr="00836A56">
        <w:t xml:space="preserve">площадке  </w:t>
      </w:r>
      <w:hyperlink r:id="rId5" w:history="1">
        <w:r w:rsidR="00E67F2C" w:rsidRPr="00836A56">
          <w:rPr>
            <w:rStyle w:val="a3"/>
            <w:color w:val="00000A"/>
          </w:rPr>
          <w:t>http://</w:t>
        </w:r>
        <w:proofErr w:type="spellStart"/>
        <w:r w:rsidR="00E67F2C" w:rsidRPr="00836A56">
          <w:rPr>
            <w:rStyle w:val="a3"/>
            <w:color w:val="00000A"/>
            <w:lang w:val="en-US"/>
          </w:rPr>
          <w:t>vertrades</w:t>
        </w:r>
        <w:proofErr w:type="spellEnd"/>
        <w:r w:rsidR="00E67F2C" w:rsidRPr="00836A56">
          <w:rPr>
            <w:rStyle w:val="a3"/>
            <w:color w:val="00000A"/>
          </w:rPr>
          <w:t>.</w:t>
        </w:r>
        <w:proofErr w:type="spellStart"/>
        <w:r w:rsidR="00E67F2C" w:rsidRPr="00836A56">
          <w:rPr>
            <w:rStyle w:val="a3"/>
            <w:color w:val="00000A"/>
            <w:lang w:val="en-US"/>
          </w:rPr>
          <w:t>ru</w:t>
        </w:r>
        <w:proofErr w:type="spellEnd"/>
      </w:hyperlink>
      <w:r w:rsidR="00E67F2C" w:rsidRPr="00836A56">
        <w:t xml:space="preserve">  перечисляет денежные средства в размере </w:t>
      </w:r>
      <w:r w:rsidRPr="00836A56">
        <w:t>4435</w:t>
      </w:r>
      <w:r w:rsidR="00E67F2C" w:rsidRPr="00836A56">
        <w:t xml:space="preserve"> руб. (далее – «задаток»), а Организатор торгов принимает задаток  на  расчетный счет </w:t>
      </w:r>
      <w:r w:rsidRPr="00836A56">
        <w:t>ООО «Дороги Весляны»</w:t>
      </w:r>
      <w:r w:rsidR="00E67F2C" w:rsidRPr="00836A56">
        <w:t xml:space="preserve"> </w:t>
      </w:r>
      <w:r w:rsidRPr="00836A56">
        <w:t>№ 40702810300700001274 в  Сыктывкарском филиале</w:t>
      </w:r>
      <w:proofErr w:type="gramEnd"/>
      <w:r w:rsidRPr="00836A56">
        <w:t xml:space="preserve"> ТКБ БАНК ПАО г</w:t>
      </w:r>
      <w:proofErr w:type="gramStart"/>
      <w:r w:rsidRPr="00836A56">
        <w:t>.С</w:t>
      </w:r>
      <w:proofErr w:type="gramEnd"/>
      <w:r w:rsidRPr="00836A56">
        <w:t xml:space="preserve">ыктывкар   к/с 30101810800000000729  </w:t>
      </w:r>
      <w:r w:rsidR="00E67F2C" w:rsidRPr="00836A56">
        <w:t xml:space="preserve"> БИК 048702729. </w:t>
      </w:r>
    </w:p>
    <w:p w:rsidR="00E67F2C" w:rsidRDefault="00E67F2C" w:rsidP="00E67F2C">
      <w:pPr>
        <w:pStyle w:val="HTML1"/>
        <w:jc w:val="both"/>
        <w:rPr>
          <w:color w:val="000000"/>
        </w:rPr>
      </w:pPr>
      <w:r>
        <w:rPr>
          <w:rFonts w:ascii="Times New Roman" w:hAnsi="Times New Roman" w:cs="Times New Roman"/>
          <w:color w:val="000000"/>
          <w:sz w:val="24"/>
          <w:szCs w:val="24"/>
        </w:rPr>
        <w:tab/>
        <w:t>1.2. Задаток вносится Претендентом в счет обеспечения исполнения </w:t>
      </w:r>
      <w:proofErr w:type="gramStart"/>
      <w:r>
        <w:rPr>
          <w:rFonts w:ascii="Times New Roman" w:hAnsi="Times New Roman" w:cs="Times New Roman"/>
          <w:color w:val="000000"/>
          <w:sz w:val="24"/>
          <w:szCs w:val="24"/>
        </w:rPr>
        <w:t>обязательств</w:t>
      </w:r>
      <w:proofErr w:type="gramEnd"/>
      <w:r>
        <w:rPr>
          <w:rFonts w:ascii="Times New Roman" w:hAnsi="Times New Roman" w:cs="Times New Roman"/>
          <w:color w:val="000000"/>
          <w:sz w:val="24"/>
          <w:szCs w:val="24"/>
        </w:rPr>
        <w:t> по оплате продаваемого на торгах Имущества.</w:t>
      </w:r>
    </w:p>
    <w:p w:rsidR="00E67F2C" w:rsidRDefault="00E67F2C" w:rsidP="00E67F2C">
      <w:pPr>
        <w:tabs>
          <w:tab w:val="left" w:pos="6495"/>
        </w:tabs>
        <w:ind w:left="720"/>
        <w:jc w:val="both"/>
        <w:rPr>
          <w:color w:val="000000"/>
        </w:rPr>
      </w:pPr>
    </w:p>
    <w:p w:rsidR="00E67F2C" w:rsidRDefault="00E67F2C" w:rsidP="00E67F2C">
      <w:pPr>
        <w:tabs>
          <w:tab w:val="left" w:pos="6495"/>
        </w:tabs>
        <w:ind w:left="720"/>
        <w:jc w:val="center"/>
      </w:pPr>
      <w:r>
        <w:t>2. Порядок внесения задатка</w:t>
      </w:r>
    </w:p>
    <w:p w:rsidR="00E67F2C" w:rsidRDefault="00E67F2C" w:rsidP="00E67F2C">
      <w:pPr>
        <w:jc w:val="center"/>
      </w:pPr>
    </w:p>
    <w:p w:rsidR="00E67F2C" w:rsidRDefault="00E67F2C" w:rsidP="00E67F2C">
      <w:pPr>
        <w:jc w:val="both"/>
      </w:pPr>
      <w:r>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 проведении торгов.</w:t>
      </w:r>
    </w:p>
    <w:p w:rsidR="00E67F2C" w:rsidRDefault="00E67F2C" w:rsidP="00E67F2C">
      <w:pPr>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E67F2C" w:rsidRDefault="00E67F2C" w:rsidP="00E67F2C">
      <w:pPr>
        <w:jc w:val="both"/>
      </w:pPr>
      <w:r>
        <w:tab/>
        <w:t>2.2. Организатор торгов не вправе распоряжаться денежными средствами, поступившими на его счет в качестве задатка.</w:t>
      </w:r>
    </w:p>
    <w:p w:rsidR="00E67F2C" w:rsidRDefault="00E67F2C" w:rsidP="00E67F2C">
      <w:pPr>
        <w:jc w:val="both"/>
      </w:pPr>
      <w:r>
        <w:tab/>
        <w:t>2.3. На денежные средства, перечисленные в соответствии с настоящим договором, проценты не начисляются.</w:t>
      </w:r>
    </w:p>
    <w:p w:rsidR="00E67F2C" w:rsidRDefault="00E67F2C" w:rsidP="00E67F2C">
      <w:pPr>
        <w:jc w:val="both"/>
      </w:pPr>
    </w:p>
    <w:p w:rsidR="00E67F2C" w:rsidRDefault="00E67F2C" w:rsidP="00E67F2C">
      <w:pPr>
        <w:jc w:val="center"/>
      </w:pPr>
      <w:r>
        <w:t>3. Порядок возврата и удержания задатка</w:t>
      </w:r>
    </w:p>
    <w:p w:rsidR="00E67F2C" w:rsidRDefault="00E67F2C" w:rsidP="00E67F2C">
      <w:pPr>
        <w:jc w:val="center"/>
      </w:pPr>
    </w:p>
    <w:p w:rsidR="00E67F2C" w:rsidRDefault="00E67F2C" w:rsidP="00E67F2C">
      <w:pPr>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E67F2C" w:rsidRDefault="00E67F2C" w:rsidP="00E67F2C">
      <w:pPr>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E67F2C" w:rsidRDefault="00E67F2C" w:rsidP="00E67F2C">
      <w:pPr>
        <w:jc w:val="both"/>
      </w:pPr>
      <w:r>
        <w:lastRenderedPageBreak/>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E67F2C" w:rsidRDefault="00E67F2C" w:rsidP="00E67F2C">
      <w:pPr>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E67F2C" w:rsidRDefault="00E67F2C" w:rsidP="00E67F2C">
      <w:pPr>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E67F2C" w:rsidRDefault="00E67F2C" w:rsidP="00E67F2C">
      <w:pPr>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E67F2C" w:rsidRDefault="00E67F2C" w:rsidP="00E67F2C">
      <w:pPr>
        <w:jc w:val="both"/>
      </w:pPr>
      <w:r>
        <w:tab/>
        <w:t xml:space="preserve">3.7. Внесенный задаток не возвращается в случае, если Претендент, признанный победителем торгов: </w:t>
      </w:r>
    </w:p>
    <w:p w:rsidR="00E67F2C" w:rsidRDefault="00E67F2C" w:rsidP="00E67F2C">
      <w:pPr>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E67F2C" w:rsidRDefault="00E67F2C" w:rsidP="00E67F2C">
      <w:pPr>
        <w:jc w:val="both"/>
      </w:pPr>
      <w:r>
        <w:t>- уклонится от оплаты продаваемого на торгах имущества в срок, установленный заключенным договором купли-продажи.</w:t>
      </w:r>
    </w:p>
    <w:p w:rsidR="00E67F2C" w:rsidRDefault="00E67F2C" w:rsidP="00E67F2C">
      <w:pPr>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E67F2C" w:rsidRDefault="00E67F2C" w:rsidP="00E67F2C">
      <w:pPr>
        <w:jc w:val="both"/>
      </w:pPr>
    </w:p>
    <w:p w:rsidR="00E67F2C" w:rsidRDefault="00E67F2C" w:rsidP="00E67F2C">
      <w:pPr>
        <w:jc w:val="center"/>
      </w:pPr>
      <w:r>
        <w:t>4. Срок действия договора</w:t>
      </w:r>
    </w:p>
    <w:p w:rsidR="00E67F2C" w:rsidRDefault="00E67F2C" w:rsidP="00E67F2C">
      <w:pPr>
        <w:jc w:val="center"/>
      </w:pPr>
    </w:p>
    <w:p w:rsidR="00E67F2C" w:rsidRDefault="00E67F2C" w:rsidP="00E67F2C">
      <w:pPr>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E67F2C" w:rsidRDefault="00E67F2C" w:rsidP="00E67F2C">
      <w:pPr>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E67F2C" w:rsidRDefault="00E67F2C" w:rsidP="00E67F2C">
      <w:pPr>
        <w:jc w:val="both"/>
      </w:pPr>
      <w:r>
        <w:tab/>
        <w:t>4.3. Настоящий договор составлен в двух экземплярах, имеющих одинаковую юридическую силу, по одному для каждой из сторон.</w:t>
      </w:r>
    </w:p>
    <w:p w:rsidR="00E67F2C" w:rsidRDefault="00E67F2C" w:rsidP="00E67F2C">
      <w:pPr>
        <w:pStyle w:val="HTML1"/>
        <w:jc w:val="center"/>
      </w:pPr>
    </w:p>
    <w:p w:rsidR="00E67F2C" w:rsidRDefault="00E67F2C" w:rsidP="00E67F2C">
      <w:pPr>
        <w:pStyle w:val="HTML1"/>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E67F2C" w:rsidRDefault="00E67F2C" w:rsidP="00E67F2C">
      <w:pPr>
        <w:pStyle w:val="HTML1"/>
        <w:jc w:val="center"/>
        <w:rPr>
          <w:rFonts w:ascii="Times New Roman" w:hAnsi="Times New Roman" w:cs="Times New Roman"/>
          <w:sz w:val="24"/>
          <w:szCs w:val="24"/>
        </w:rPr>
      </w:pPr>
    </w:p>
    <w:tbl>
      <w:tblPr>
        <w:tblW w:w="0" w:type="auto"/>
        <w:tblLayout w:type="fixed"/>
        <w:tblCellMar>
          <w:left w:w="113" w:type="dxa"/>
        </w:tblCellMar>
        <w:tblLook w:val="0000"/>
      </w:tblPr>
      <w:tblGrid>
        <w:gridCol w:w="4926"/>
        <w:gridCol w:w="4927"/>
      </w:tblGrid>
      <w:tr w:rsidR="00E67F2C" w:rsidTr="004D6B7F">
        <w:tc>
          <w:tcPr>
            <w:tcW w:w="4926" w:type="dxa"/>
            <w:tcBorders>
              <w:top w:val="single" w:sz="4" w:space="0" w:color="00000A"/>
              <w:left w:val="single" w:sz="4" w:space="0" w:color="00000A"/>
              <w:bottom w:val="single" w:sz="4" w:space="0" w:color="00000A"/>
              <w:right w:val="single" w:sz="4" w:space="0" w:color="00000A"/>
            </w:tcBorders>
            <w:shd w:val="clear" w:color="auto" w:fill="auto"/>
          </w:tcPr>
          <w:p w:rsidR="00E67F2C" w:rsidRPr="009F4381" w:rsidRDefault="00836A56" w:rsidP="004D6B7F">
            <w:pPr>
              <w:pStyle w:val="HTML1"/>
              <w:rPr>
                <w:rFonts w:ascii="Times New Roman" w:hAnsi="Times New Roman" w:cs="Times New Roman"/>
                <w:b/>
                <w:sz w:val="22"/>
                <w:szCs w:val="22"/>
              </w:rPr>
            </w:pPr>
            <w:r w:rsidRPr="009F4381">
              <w:rPr>
                <w:rFonts w:ascii="Times New Roman" w:hAnsi="Times New Roman" w:cs="Times New Roman"/>
                <w:b/>
                <w:sz w:val="22"/>
                <w:szCs w:val="22"/>
              </w:rPr>
              <w:t>ООО «Дороги Весляны»</w:t>
            </w:r>
          </w:p>
          <w:p w:rsidR="00836A56" w:rsidRPr="009F4381" w:rsidRDefault="00836A56" w:rsidP="004D6B7F">
            <w:pPr>
              <w:pStyle w:val="HTML1"/>
              <w:rPr>
                <w:rFonts w:ascii="Times New Roman" w:hAnsi="Times New Roman" w:cs="Times New Roman"/>
                <w:sz w:val="22"/>
                <w:szCs w:val="22"/>
              </w:rPr>
            </w:pPr>
            <w:r w:rsidRPr="009F4381">
              <w:rPr>
                <w:rFonts w:ascii="Times New Roman" w:hAnsi="Times New Roman" w:cs="Times New Roman"/>
                <w:sz w:val="22"/>
                <w:szCs w:val="22"/>
              </w:rPr>
              <w:t xml:space="preserve">ИНН8107010542 </w:t>
            </w:r>
          </w:p>
          <w:p w:rsidR="00E67F2C" w:rsidRPr="009F4381" w:rsidRDefault="00836A56" w:rsidP="004D6B7F">
            <w:pPr>
              <w:pStyle w:val="HTML1"/>
              <w:rPr>
                <w:rFonts w:ascii="Times New Roman" w:hAnsi="Times New Roman" w:cs="Times New Roman"/>
                <w:sz w:val="22"/>
                <w:szCs w:val="22"/>
              </w:rPr>
            </w:pPr>
            <w:r w:rsidRPr="009F4381">
              <w:rPr>
                <w:rFonts w:ascii="Times New Roman" w:hAnsi="Times New Roman" w:cs="Times New Roman"/>
                <w:sz w:val="22"/>
                <w:szCs w:val="22"/>
              </w:rPr>
              <w:t>ОГРН 1048102237677</w:t>
            </w:r>
          </w:p>
          <w:p w:rsidR="009F4381" w:rsidRDefault="009F4381" w:rsidP="004D6B7F">
            <w:pPr>
              <w:pStyle w:val="HTML1"/>
              <w:rPr>
                <w:rFonts w:ascii="Times New Roman" w:hAnsi="Times New Roman" w:cs="Times New Roman"/>
                <w:sz w:val="22"/>
                <w:szCs w:val="22"/>
              </w:rPr>
            </w:pPr>
          </w:p>
          <w:p w:rsidR="009F4381" w:rsidRDefault="009F4381" w:rsidP="004D6B7F">
            <w:pPr>
              <w:pStyle w:val="HTML1"/>
              <w:rPr>
                <w:rFonts w:ascii="Times New Roman" w:hAnsi="Times New Roman" w:cs="Times New Roman"/>
                <w:sz w:val="22"/>
                <w:szCs w:val="22"/>
              </w:rPr>
            </w:pPr>
          </w:p>
          <w:p w:rsidR="009F4381" w:rsidRDefault="009F4381" w:rsidP="004D6B7F">
            <w:pPr>
              <w:pStyle w:val="HTML1"/>
              <w:rPr>
                <w:rFonts w:ascii="Times New Roman" w:hAnsi="Times New Roman" w:cs="Times New Roman"/>
                <w:sz w:val="22"/>
                <w:szCs w:val="22"/>
              </w:rPr>
            </w:pPr>
          </w:p>
          <w:p w:rsidR="00E67F2C" w:rsidRDefault="00E67F2C" w:rsidP="004D6B7F">
            <w:pPr>
              <w:pStyle w:val="HTML1"/>
              <w:rPr>
                <w:rFonts w:ascii="Times New Roman" w:hAnsi="Times New Roman" w:cs="Times New Roman"/>
                <w:sz w:val="22"/>
                <w:szCs w:val="22"/>
              </w:rPr>
            </w:pPr>
            <w:r w:rsidRPr="009F4381">
              <w:rPr>
                <w:rFonts w:ascii="Times New Roman" w:hAnsi="Times New Roman" w:cs="Times New Roman"/>
                <w:sz w:val="22"/>
                <w:szCs w:val="22"/>
              </w:rPr>
              <w:t>Конкурсный</w:t>
            </w:r>
            <w:r>
              <w:rPr>
                <w:rFonts w:ascii="Times New Roman" w:hAnsi="Times New Roman" w:cs="Times New Roman"/>
                <w:sz w:val="22"/>
                <w:szCs w:val="22"/>
              </w:rPr>
              <w:t xml:space="preserve"> управляющий</w:t>
            </w:r>
          </w:p>
          <w:p w:rsidR="00E67F2C" w:rsidRDefault="00E67F2C" w:rsidP="004D6B7F">
            <w:pPr>
              <w:pStyle w:val="HTML1"/>
              <w:rPr>
                <w:rFonts w:ascii="Times New Roman" w:hAnsi="Times New Roman" w:cs="Times New Roman"/>
                <w:sz w:val="22"/>
                <w:szCs w:val="22"/>
              </w:rPr>
            </w:pPr>
          </w:p>
          <w:p w:rsidR="00E67F2C" w:rsidRDefault="00E67F2C" w:rsidP="004D6B7F">
            <w:pPr>
              <w:pStyle w:val="HTML1"/>
              <w:rPr>
                <w:rFonts w:ascii="Times New Roman" w:hAnsi="Times New Roman" w:cs="Times New Roman"/>
                <w:sz w:val="22"/>
                <w:szCs w:val="22"/>
              </w:rPr>
            </w:pPr>
            <w:r>
              <w:rPr>
                <w:rFonts w:ascii="Times New Roman" w:hAnsi="Times New Roman" w:cs="Times New Roman"/>
                <w:sz w:val="22"/>
                <w:szCs w:val="22"/>
              </w:rPr>
              <w:t xml:space="preserve">_______________ </w:t>
            </w:r>
            <w:proofErr w:type="spellStart"/>
            <w:r>
              <w:rPr>
                <w:rFonts w:ascii="Times New Roman" w:hAnsi="Times New Roman" w:cs="Times New Roman"/>
                <w:sz w:val="22"/>
                <w:szCs w:val="22"/>
              </w:rPr>
              <w:t>Андронович</w:t>
            </w:r>
            <w:proofErr w:type="spellEnd"/>
            <w:r>
              <w:rPr>
                <w:rFonts w:ascii="Times New Roman" w:hAnsi="Times New Roman" w:cs="Times New Roman"/>
                <w:sz w:val="22"/>
                <w:szCs w:val="22"/>
              </w:rPr>
              <w:t xml:space="preserve"> С.К</w:t>
            </w:r>
          </w:p>
          <w:p w:rsidR="00E67F2C" w:rsidRDefault="00E67F2C" w:rsidP="004D6B7F">
            <w:pPr>
              <w:pStyle w:val="HTML1"/>
              <w:rPr>
                <w:rFonts w:ascii="Times New Roman" w:hAnsi="Times New Roman" w:cs="Times New Roman"/>
                <w:sz w:val="22"/>
                <w:szCs w:val="22"/>
              </w:rPr>
            </w:pPr>
          </w:p>
        </w:tc>
        <w:tc>
          <w:tcPr>
            <w:tcW w:w="4927" w:type="dxa"/>
            <w:tcBorders>
              <w:top w:val="single" w:sz="4" w:space="0" w:color="00000A"/>
              <w:left w:val="single" w:sz="4" w:space="0" w:color="00000A"/>
              <w:bottom w:val="single" w:sz="4" w:space="0" w:color="00000A"/>
              <w:right w:val="single" w:sz="4" w:space="0" w:color="00000A"/>
            </w:tcBorders>
            <w:shd w:val="clear" w:color="auto" w:fill="auto"/>
          </w:tcPr>
          <w:p w:rsidR="00E67F2C" w:rsidRDefault="00E67F2C" w:rsidP="004D6B7F">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sz w:val="24"/>
                <w:szCs w:val="24"/>
              </w:rPr>
            </w:pPr>
          </w:p>
          <w:p w:rsidR="00E67F2C" w:rsidRDefault="00E67F2C" w:rsidP="004D6B7F">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E67F2C" w:rsidRDefault="00E67F2C" w:rsidP="004D6B7F">
            <w:pPr>
              <w:pStyle w:val="HTML1"/>
              <w:jc w:val="both"/>
              <w:rPr>
                <w:rFonts w:ascii="Times New Roman" w:hAnsi="Times New Roman" w:cs="Times New Roman"/>
                <w:b/>
                <w:sz w:val="24"/>
                <w:szCs w:val="24"/>
              </w:rPr>
            </w:pPr>
          </w:p>
          <w:p w:rsidR="00E67F2C" w:rsidRDefault="00E67F2C" w:rsidP="004D6B7F">
            <w:pPr>
              <w:pStyle w:val="HTML1"/>
              <w:pBdr>
                <w:top w:val="single" w:sz="12" w:space="1" w:color="00000A"/>
                <w:left w:val="none" w:sz="0" w:space="0" w:color="000000"/>
                <w:bottom w:val="single" w:sz="12" w:space="1" w:color="00000A"/>
                <w:right w:val="none" w:sz="0" w:space="0" w:color="000000"/>
              </w:pBdr>
              <w:jc w:val="both"/>
              <w:rPr>
                <w:rFonts w:ascii="Times New Roman" w:hAnsi="Times New Roman" w:cs="Times New Roman"/>
                <w:b/>
                <w:sz w:val="24"/>
                <w:szCs w:val="24"/>
              </w:rPr>
            </w:pPr>
          </w:p>
          <w:p w:rsidR="00E67F2C" w:rsidRDefault="00E67F2C" w:rsidP="004D6B7F">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E67F2C" w:rsidRDefault="00E67F2C" w:rsidP="004D6B7F">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E67F2C" w:rsidRDefault="00E67F2C" w:rsidP="004D6B7F">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E67F2C" w:rsidRDefault="00E67F2C" w:rsidP="004D6B7F">
            <w:pPr>
              <w:pStyle w:val="HTML1"/>
              <w:jc w:val="both"/>
              <w:rPr>
                <w:rFonts w:ascii="Times New Roman" w:hAnsi="Times New Roman" w:cs="Times New Roman"/>
                <w:sz w:val="24"/>
                <w:szCs w:val="24"/>
              </w:rPr>
            </w:pPr>
            <w:r>
              <w:rPr>
                <w:rFonts w:ascii="Times New Roman" w:hAnsi="Times New Roman" w:cs="Times New Roman"/>
                <w:sz w:val="24"/>
                <w:szCs w:val="24"/>
              </w:rPr>
              <w:t xml:space="preserve">                    </w:t>
            </w:r>
          </w:p>
          <w:p w:rsidR="00E67F2C" w:rsidRDefault="00E67F2C" w:rsidP="004D6B7F">
            <w:pPr>
              <w:pStyle w:val="HTML1"/>
              <w:jc w:val="both"/>
            </w:pPr>
            <w:r>
              <w:rPr>
                <w:rFonts w:ascii="Times New Roman" w:hAnsi="Times New Roman" w:cs="Times New Roman"/>
                <w:sz w:val="24"/>
                <w:szCs w:val="24"/>
              </w:rPr>
              <w:t xml:space="preserve">                   _____________/______________/</w:t>
            </w:r>
          </w:p>
        </w:tc>
      </w:tr>
    </w:tbl>
    <w:p w:rsidR="00E67F2C" w:rsidRDefault="00E67F2C" w:rsidP="00E67F2C"/>
    <w:p w:rsidR="00E67F2C" w:rsidRDefault="00E67F2C" w:rsidP="00E67F2C"/>
    <w:p w:rsidR="00E67F2C" w:rsidRDefault="00E67F2C" w:rsidP="00E67F2C"/>
    <w:p w:rsidR="0041633E" w:rsidRDefault="0041633E"/>
    <w:sectPr w:rsidR="0041633E" w:rsidSect="00987364">
      <w:pgSz w:w="11906" w:h="16838"/>
      <w:pgMar w:top="567" w:right="851" w:bottom="567" w:left="1418" w:header="720" w:footer="720" w:gutter="0"/>
      <w:cols w:space="72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E0E02"/>
    <w:multiLevelType w:val="hybridMultilevel"/>
    <w:tmpl w:val="271CD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E67F2C"/>
    <w:rsid w:val="0041633E"/>
    <w:rsid w:val="00734243"/>
    <w:rsid w:val="00766132"/>
    <w:rsid w:val="00836A56"/>
    <w:rsid w:val="00987364"/>
    <w:rsid w:val="009F4381"/>
    <w:rsid w:val="00DC4D72"/>
    <w:rsid w:val="00E67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2C"/>
    <w:pPr>
      <w:suppressAutoHyphens/>
      <w:spacing w:after="0" w:line="240" w:lineRule="auto"/>
    </w:pPr>
    <w:rPr>
      <w:rFonts w:ascii="Times New Roman" w:eastAsia="Times New Roman" w:hAnsi="Times New Roman" w:cs="Times New Roman"/>
      <w:ker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рогий1"/>
    <w:basedOn w:val="a0"/>
    <w:rsid w:val="00E67F2C"/>
    <w:rPr>
      <w:b/>
      <w:bCs/>
    </w:rPr>
  </w:style>
  <w:style w:type="character" w:styleId="a3">
    <w:name w:val="Hyperlink"/>
    <w:basedOn w:val="a0"/>
    <w:rsid w:val="00E67F2C"/>
    <w:rPr>
      <w:color w:val="0000FF"/>
      <w:u w:val="single"/>
    </w:rPr>
  </w:style>
  <w:style w:type="paragraph" w:customStyle="1" w:styleId="HTML1">
    <w:name w:val="Стандартный HTML1"/>
    <w:basedOn w:val="a"/>
    <w:rsid w:val="00E6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
    <w:rsid w:val="00E67F2C"/>
    <w:pPr>
      <w:suppressAutoHyphens w:val="0"/>
      <w:spacing w:before="100" w:beforeAutospacing="1" w:line="288" w:lineRule="auto"/>
      <w:jc w:val="both"/>
    </w:pPr>
    <w:rPr>
      <w:color w:val="00000A"/>
      <w:kern w:val="0"/>
    </w:rPr>
  </w:style>
  <w:style w:type="paragraph" w:styleId="a5">
    <w:name w:val="List Paragraph"/>
    <w:basedOn w:val="a"/>
    <w:uiPriority w:val="34"/>
    <w:qFormat/>
    <w:rsid w:val="00E67F2C"/>
    <w:pPr>
      <w:suppressAutoHyphens w:val="0"/>
      <w:ind w:left="720"/>
      <w:contextualSpacing/>
    </w:pPr>
    <w:rPr>
      <w:color w:val="000000"/>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ertrade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811</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2</cp:revision>
  <dcterms:created xsi:type="dcterms:W3CDTF">2015-10-13T11:23:00Z</dcterms:created>
  <dcterms:modified xsi:type="dcterms:W3CDTF">2016-12-10T10:46:00Z</dcterms:modified>
</cp:coreProperties>
</file>